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6B17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3152CF7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71DBA40F"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50EEBD2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1BEAC6EB"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1231CF4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142213FF"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18DDE83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84</w:t>
            </w:r>
          </w:p>
        </w:tc>
      </w:tr>
      <w:tr w:rsidR="00000000" w14:paraId="2EE33968" w14:textId="77777777">
        <w:tblPrEx>
          <w:tblCellMar>
            <w:top w:w="0" w:type="dxa"/>
            <w:bottom w:w="0" w:type="dxa"/>
          </w:tblCellMar>
        </w:tblPrEx>
        <w:trPr>
          <w:trHeight w:val="300"/>
        </w:trPr>
        <w:tc>
          <w:tcPr>
            <w:tcW w:w="5230" w:type="dxa"/>
            <w:tcBorders>
              <w:top w:val="nil"/>
              <w:left w:val="nil"/>
              <w:bottom w:val="nil"/>
              <w:right w:val="nil"/>
            </w:tcBorders>
            <w:vAlign w:val="bottom"/>
          </w:tcPr>
          <w:p w14:paraId="7A65CFD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5E1E1D9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6C4ECEFD" w14:textId="77777777">
        <w:tblPrEx>
          <w:tblCellMar>
            <w:top w:w="0" w:type="dxa"/>
            <w:bottom w:w="0" w:type="dxa"/>
          </w:tblCellMar>
        </w:tblPrEx>
        <w:trPr>
          <w:trHeight w:val="300"/>
        </w:trPr>
        <w:tc>
          <w:tcPr>
            <w:tcW w:w="10465" w:type="dxa"/>
            <w:tcBorders>
              <w:top w:val="nil"/>
              <w:left w:val="nil"/>
              <w:bottom w:val="nil"/>
              <w:right w:val="nil"/>
            </w:tcBorders>
            <w:vAlign w:val="bottom"/>
          </w:tcPr>
          <w:p w14:paraId="4461859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2667B7A6"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6659AFD7"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73FD18F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4FB3CEB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400F112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1D1320D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01DF15F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419960A3" w14:textId="77777777">
        <w:tblPrEx>
          <w:tblCellMar>
            <w:top w:w="0" w:type="dxa"/>
            <w:bottom w:w="0" w:type="dxa"/>
          </w:tblCellMar>
        </w:tblPrEx>
        <w:trPr>
          <w:trHeight w:val="200"/>
        </w:trPr>
        <w:tc>
          <w:tcPr>
            <w:tcW w:w="3415" w:type="dxa"/>
            <w:tcBorders>
              <w:top w:val="nil"/>
              <w:left w:val="nil"/>
              <w:bottom w:val="nil"/>
              <w:right w:val="nil"/>
            </w:tcBorders>
          </w:tcPr>
          <w:p w14:paraId="19BBBD8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5262962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2B27DD5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3362434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5BBB758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341D32D2"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5F33617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512E7DB3"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7F991EB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303BE81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05426D4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606710D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6CFEC07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042B127E"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03711D2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25782F8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0EC4C13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2D34122D"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41AA039E"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325991E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229E399E" w14:textId="77777777">
        <w:tblPrEx>
          <w:tblCellMar>
            <w:top w:w="0" w:type="dxa"/>
            <w:bottom w:w="0" w:type="dxa"/>
          </w:tblCellMar>
        </w:tblPrEx>
        <w:trPr>
          <w:trHeight w:val="300"/>
        </w:trPr>
        <w:tc>
          <w:tcPr>
            <w:tcW w:w="3415" w:type="dxa"/>
            <w:vMerge w:val="restart"/>
            <w:tcBorders>
              <w:top w:val="nil"/>
              <w:left w:val="nil"/>
              <w:bottom w:val="nil"/>
              <w:right w:val="nil"/>
            </w:tcBorders>
          </w:tcPr>
          <w:p w14:paraId="313E112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352593C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7DA4495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6ED8448D" w14:textId="77777777">
        <w:tblPrEx>
          <w:tblCellMar>
            <w:top w:w="0" w:type="dxa"/>
            <w:bottom w:w="0" w:type="dxa"/>
          </w:tblCellMar>
        </w:tblPrEx>
        <w:trPr>
          <w:trHeight w:val="300"/>
        </w:trPr>
        <w:tc>
          <w:tcPr>
            <w:tcW w:w="3415" w:type="dxa"/>
            <w:vMerge/>
            <w:tcBorders>
              <w:top w:val="nil"/>
              <w:left w:val="nil"/>
              <w:bottom w:val="nil"/>
              <w:right w:val="nil"/>
            </w:tcBorders>
          </w:tcPr>
          <w:p w14:paraId="2B15201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647BF27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02115AE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79CAB4C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708557A8"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4680B88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прийняття рішення про розміщення цінних паперів на суму, що перевищує 25 відсотків статутного капіталу</w:t>
      </w:r>
    </w:p>
    <w:p w14:paraId="5332D2B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1500"/>
        <w:gridCol w:w="2500"/>
        <w:gridCol w:w="2000"/>
        <w:gridCol w:w="2000"/>
        <w:gridCol w:w="1965"/>
      </w:tblGrid>
      <w:tr w:rsidR="00000000" w14:paraId="1DB27D8A"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FCA12D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1500" w:type="dxa"/>
            <w:tcBorders>
              <w:top w:val="single" w:sz="6" w:space="0" w:color="auto"/>
              <w:left w:val="single" w:sz="6" w:space="0" w:color="auto"/>
              <w:bottom w:val="single" w:sz="6" w:space="0" w:color="auto"/>
              <w:right w:val="single" w:sz="6" w:space="0" w:color="auto"/>
            </w:tcBorders>
            <w:vAlign w:val="center"/>
          </w:tcPr>
          <w:p w14:paraId="6640A41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прийняття рішення</w:t>
            </w:r>
          </w:p>
        </w:tc>
        <w:tc>
          <w:tcPr>
            <w:tcW w:w="2500" w:type="dxa"/>
            <w:tcBorders>
              <w:top w:val="single" w:sz="6" w:space="0" w:color="auto"/>
              <w:left w:val="single" w:sz="6" w:space="0" w:color="auto"/>
              <w:bottom w:val="single" w:sz="6" w:space="0" w:color="auto"/>
              <w:right w:val="single" w:sz="6" w:space="0" w:color="auto"/>
            </w:tcBorders>
            <w:vAlign w:val="center"/>
          </w:tcPr>
          <w:p w14:paraId="58E39065"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Вид цінних паперів, що розміщуються</w:t>
            </w:r>
          </w:p>
        </w:tc>
        <w:tc>
          <w:tcPr>
            <w:tcW w:w="2000" w:type="dxa"/>
            <w:tcBorders>
              <w:top w:val="single" w:sz="6" w:space="0" w:color="auto"/>
              <w:left w:val="single" w:sz="6" w:space="0" w:color="auto"/>
              <w:bottom w:val="single" w:sz="6" w:space="0" w:color="auto"/>
              <w:right w:val="single" w:sz="6" w:space="0" w:color="auto"/>
            </w:tcBorders>
            <w:vAlign w:val="center"/>
          </w:tcPr>
          <w:p w14:paraId="2D275992"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Кількість цінних паперів, що розміщуються, шт.</w:t>
            </w:r>
          </w:p>
        </w:tc>
        <w:tc>
          <w:tcPr>
            <w:tcW w:w="2000" w:type="dxa"/>
            <w:tcBorders>
              <w:top w:val="single" w:sz="6" w:space="0" w:color="auto"/>
              <w:left w:val="single" w:sz="6" w:space="0" w:color="auto"/>
              <w:bottom w:val="single" w:sz="6" w:space="0" w:color="auto"/>
              <w:right w:val="single" w:sz="6" w:space="0" w:color="auto"/>
            </w:tcBorders>
            <w:vAlign w:val="center"/>
          </w:tcPr>
          <w:p w14:paraId="59A3F893"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xml:space="preserve">Сума цінних паперів, що розміщуються, </w:t>
            </w:r>
            <w:proofErr w:type="spellStart"/>
            <w:r>
              <w:rPr>
                <w:rFonts w:ascii="Times New Roman" w:hAnsi="Times New Roman" w:cs="Times New Roman"/>
                <w:b/>
                <w:bCs/>
                <w:kern w:val="0"/>
                <w:sz w:val="20"/>
                <w:szCs w:val="20"/>
              </w:rPr>
              <w:t>тис.грн</w:t>
            </w:r>
            <w:proofErr w:type="spellEnd"/>
          </w:p>
        </w:tc>
        <w:tc>
          <w:tcPr>
            <w:tcW w:w="1965" w:type="dxa"/>
            <w:tcBorders>
              <w:top w:val="single" w:sz="6" w:space="0" w:color="auto"/>
              <w:left w:val="single" w:sz="6" w:space="0" w:color="auto"/>
              <w:bottom w:val="single" w:sz="6" w:space="0" w:color="auto"/>
            </w:tcBorders>
            <w:vAlign w:val="center"/>
          </w:tcPr>
          <w:p w14:paraId="028404A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b/>
                <w:bCs/>
                <w:kern w:val="0"/>
                <w:sz w:val="20"/>
                <w:szCs w:val="20"/>
              </w:rPr>
              <w:t>Частка від статутного капіталу (у відсотках)</w:t>
            </w:r>
          </w:p>
        </w:tc>
      </w:tr>
      <w:tr w:rsidR="00000000" w14:paraId="4FAF81F7"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6386E3E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500" w:type="dxa"/>
            <w:tcBorders>
              <w:top w:val="single" w:sz="6" w:space="0" w:color="auto"/>
              <w:left w:val="single" w:sz="6" w:space="0" w:color="auto"/>
              <w:bottom w:val="single" w:sz="6" w:space="0" w:color="auto"/>
              <w:right w:val="single" w:sz="6" w:space="0" w:color="auto"/>
            </w:tcBorders>
            <w:vAlign w:val="center"/>
          </w:tcPr>
          <w:p w14:paraId="48E33FA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500" w:type="dxa"/>
            <w:tcBorders>
              <w:top w:val="single" w:sz="6" w:space="0" w:color="auto"/>
              <w:left w:val="single" w:sz="6" w:space="0" w:color="auto"/>
              <w:bottom w:val="single" w:sz="6" w:space="0" w:color="auto"/>
              <w:right w:val="single" w:sz="6" w:space="0" w:color="auto"/>
            </w:tcBorders>
            <w:vAlign w:val="center"/>
          </w:tcPr>
          <w:p w14:paraId="510D14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14:paraId="7DDFF19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14:paraId="1345050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1965" w:type="dxa"/>
            <w:tcBorders>
              <w:top w:val="single" w:sz="6" w:space="0" w:color="auto"/>
              <w:left w:val="single" w:sz="6" w:space="0" w:color="auto"/>
              <w:bottom w:val="single" w:sz="6" w:space="0" w:color="auto"/>
            </w:tcBorders>
            <w:vAlign w:val="center"/>
          </w:tcPr>
          <w:p w14:paraId="59DEB41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r>
      <w:tr w:rsidR="00000000" w14:paraId="4CF149F4"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1B19AFA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500" w:type="dxa"/>
            <w:tcBorders>
              <w:top w:val="single" w:sz="6" w:space="0" w:color="auto"/>
              <w:left w:val="single" w:sz="6" w:space="0" w:color="auto"/>
              <w:bottom w:val="single" w:sz="6" w:space="0" w:color="auto"/>
              <w:right w:val="single" w:sz="6" w:space="0" w:color="auto"/>
            </w:tcBorders>
          </w:tcPr>
          <w:p w14:paraId="4373979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2500" w:type="dxa"/>
            <w:tcBorders>
              <w:top w:val="single" w:sz="6" w:space="0" w:color="auto"/>
              <w:left w:val="single" w:sz="6" w:space="0" w:color="auto"/>
              <w:bottom w:val="single" w:sz="6" w:space="0" w:color="auto"/>
              <w:right w:val="single" w:sz="6" w:space="0" w:color="auto"/>
            </w:tcBorders>
          </w:tcPr>
          <w:p w14:paraId="448B6F7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Акція проста</w:t>
            </w:r>
          </w:p>
        </w:tc>
        <w:tc>
          <w:tcPr>
            <w:tcW w:w="2000" w:type="dxa"/>
            <w:tcBorders>
              <w:top w:val="single" w:sz="6" w:space="0" w:color="auto"/>
              <w:left w:val="single" w:sz="6" w:space="0" w:color="auto"/>
              <w:bottom w:val="single" w:sz="6" w:space="0" w:color="auto"/>
              <w:right w:val="single" w:sz="6" w:space="0" w:color="auto"/>
            </w:tcBorders>
          </w:tcPr>
          <w:p w14:paraId="344032D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10 000 000</w:t>
            </w:r>
          </w:p>
        </w:tc>
        <w:tc>
          <w:tcPr>
            <w:tcW w:w="2000" w:type="dxa"/>
            <w:tcBorders>
              <w:top w:val="single" w:sz="6" w:space="0" w:color="auto"/>
              <w:left w:val="single" w:sz="6" w:space="0" w:color="auto"/>
              <w:bottom w:val="single" w:sz="6" w:space="0" w:color="auto"/>
              <w:right w:val="single" w:sz="6" w:space="0" w:color="auto"/>
            </w:tcBorders>
          </w:tcPr>
          <w:p w14:paraId="1DEB8A0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2 500</w:t>
            </w:r>
          </w:p>
        </w:tc>
        <w:tc>
          <w:tcPr>
            <w:tcW w:w="1965" w:type="dxa"/>
            <w:tcBorders>
              <w:top w:val="single" w:sz="6" w:space="0" w:color="auto"/>
              <w:left w:val="single" w:sz="6" w:space="0" w:color="auto"/>
              <w:bottom w:val="single" w:sz="6" w:space="0" w:color="auto"/>
            </w:tcBorders>
          </w:tcPr>
          <w:p w14:paraId="701ABDD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394,1</w:t>
            </w:r>
          </w:p>
        </w:tc>
      </w:tr>
      <w:tr w:rsidR="00000000" w14:paraId="546E1BA2"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5FAEEAAF"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28DE8CC0"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1F26EA7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прийняття рішення про емісію акцій на суму, що перевищує 25 відсотків статутного капіталу, та найменування органу, що прийняв таке рішення: рішення прийнято загальними зборами акціонерів, які були проведені дистанційно 03.04.2025, протокол про підсумки голосування та протокол загальних зборів акціонерів від 10.04.2025.</w:t>
            </w:r>
          </w:p>
          <w:p w14:paraId="32FCF40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Вид - акції, тип - прості, кількість – 10 000 000 шт., сума цінних паперів 2 500 000,00 грн., спосіб їх розміщення  - без здійснення публічної пропозиції, порядок здійснення такого розміщення - самостійно. </w:t>
            </w:r>
          </w:p>
          <w:p w14:paraId="2D2A778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збільшення статутного капіталу шляхом додаткового випуску акцій: 2 500 000,00 грн.</w:t>
            </w:r>
          </w:p>
          <w:p w14:paraId="513743D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Сума цінних паперів, що розміщуються: 2 500 000,00 грн.</w:t>
            </w:r>
          </w:p>
          <w:p w14:paraId="5033515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Номінальна вартість акцій: 0,25 грн.</w:t>
            </w:r>
          </w:p>
          <w:p w14:paraId="5BC58C6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Ціна розміщення із зазначенням способу її визначення: 1,03 грн., затверджена наглядовою радою на підставі ринкової вартості акцій визначеної незалежним оцінювачем.</w:t>
            </w:r>
          </w:p>
          <w:p w14:paraId="44A8B5B8"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Розміщення акцій може призвести до зміни власників значного пакета акцій, збільшення частки у статутному капіталі акціонерів, які вже володіють пакетом у розмірі 5 і більше відсотків акцій, а саме: </w:t>
            </w:r>
          </w:p>
          <w:p w14:paraId="17502D5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Бондар Ганна Олександрівна, розмір пакета акцій – 24,473379 %, 621 059 простих іменних акцій; Бондар Інна Володимирівна, розмір пакета акцій – 51,000042 %, 1 294 224 простих іменних акцій.</w:t>
            </w:r>
          </w:p>
          <w:p w14:paraId="79E704E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Співвідношення загальної номінальної вартості цінних паперів, на яку вони розміщуються, до розміру статутного капіталу емітента на дату прийняття рішення – 394,1%.</w:t>
            </w:r>
          </w:p>
          <w:p w14:paraId="2EB38CD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Співвідношення загальної номінальної вартості цінних паперів емітента, які знаходяться в обігу, до розміру статутного капіталу емітента на дату прийняття рішення - 100%. </w:t>
            </w:r>
          </w:p>
          <w:p w14:paraId="392E470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Інформація про права, які отримують інвестори в цінні папери, що розміщуються: права та обов'язки акціонерів визначені в статуті Товариства. </w:t>
            </w:r>
          </w:p>
          <w:p w14:paraId="3F66CEB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Спосіб оплати цінних паперів - здійснюється грошовими коштами в національній валюті в гривнях шляхом безготівкового перерахування учасником розміщення на відповідний поточний рахунок Товариства. </w:t>
            </w:r>
          </w:p>
          <w:p w14:paraId="6615757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Мета розміщення цінних паперів, а також напрями використання отриманих коштів: Залучені кошти від розміщення акцій  будуть спрямовані: 20% - ремонт  і модернізація  комунікацій з водопостачання та водовідведення Хмільницької  автобусної станції, Вінницька обл., Хмільницький р-н, </w:t>
            </w:r>
            <w:proofErr w:type="spellStart"/>
            <w:r>
              <w:rPr>
                <w:rFonts w:ascii="Times New Roman" w:hAnsi="Times New Roman" w:cs="Times New Roman"/>
                <w:kern w:val="0"/>
                <w:sz w:val="20"/>
                <w:szCs w:val="20"/>
              </w:rPr>
              <w:t>м.Хмільник</w:t>
            </w:r>
            <w:proofErr w:type="spellEnd"/>
            <w:r>
              <w:rPr>
                <w:rFonts w:ascii="Times New Roman" w:hAnsi="Times New Roman" w:cs="Times New Roman"/>
                <w:kern w:val="0"/>
                <w:sz w:val="20"/>
                <w:szCs w:val="20"/>
              </w:rPr>
              <w:t xml:space="preserve">, вул.Київська,10  (загальна площа  804,4 </w:t>
            </w:r>
            <w:proofErr w:type="spellStart"/>
            <w:r>
              <w:rPr>
                <w:rFonts w:ascii="Times New Roman" w:hAnsi="Times New Roman" w:cs="Times New Roman"/>
                <w:kern w:val="0"/>
                <w:sz w:val="20"/>
                <w:szCs w:val="20"/>
              </w:rPr>
              <w:t>кв</w:t>
            </w:r>
            <w:proofErr w:type="spellEnd"/>
            <w:r>
              <w:rPr>
                <w:rFonts w:ascii="Times New Roman" w:hAnsi="Times New Roman" w:cs="Times New Roman"/>
                <w:kern w:val="0"/>
                <w:sz w:val="20"/>
                <w:szCs w:val="20"/>
              </w:rPr>
              <w:t xml:space="preserve"> м); 80% - проведення робіт, пов’язаних з  реконструкцією  та капітальним ремонтом будівлі Немирівської автобусної станції, Вінницька обл., Вінницький  р-н, </w:t>
            </w:r>
            <w:proofErr w:type="spellStart"/>
            <w:r>
              <w:rPr>
                <w:rFonts w:ascii="Times New Roman" w:hAnsi="Times New Roman" w:cs="Times New Roman"/>
                <w:kern w:val="0"/>
                <w:sz w:val="20"/>
                <w:szCs w:val="20"/>
              </w:rPr>
              <w:t>м.Немирів</w:t>
            </w:r>
            <w:proofErr w:type="spellEnd"/>
            <w:r>
              <w:rPr>
                <w:rFonts w:ascii="Times New Roman" w:hAnsi="Times New Roman" w:cs="Times New Roman"/>
                <w:kern w:val="0"/>
                <w:sz w:val="20"/>
                <w:szCs w:val="20"/>
              </w:rPr>
              <w:t xml:space="preserve">, вул. Костельна,10 (загальна площа  805,2 </w:t>
            </w:r>
            <w:proofErr w:type="spellStart"/>
            <w:r>
              <w:rPr>
                <w:rFonts w:ascii="Times New Roman" w:hAnsi="Times New Roman" w:cs="Times New Roman"/>
                <w:kern w:val="0"/>
                <w:sz w:val="20"/>
                <w:szCs w:val="20"/>
              </w:rPr>
              <w:t>кв</w:t>
            </w:r>
            <w:proofErr w:type="spellEnd"/>
            <w:r>
              <w:rPr>
                <w:rFonts w:ascii="Times New Roman" w:hAnsi="Times New Roman" w:cs="Times New Roman"/>
                <w:kern w:val="0"/>
                <w:sz w:val="20"/>
                <w:szCs w:val="20"/>
              </w:rPr>
              <w:t xml:space="preserve"> м).</w:t>
            </w:r>
          </w:p>
          <w:p w14:paraId="6048ED9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Прізвища, імена та по батькові членів уповноваженого органу, що прийняв рішення про розміщення цінних паперів: рішення про розміщення цінних паперів прийнято Загальними зборами акціонерів.</w:t>
            </w:r>
          </w:p>
          <w:p w14:paraId="68CE8D2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Можливість конвертації цінних паперів не передбачається.</w:t>
            </w:r>
          </w:p>
          <w:p w14:paraId="5709AA7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Додаткова інформація: загальними зборами акціонерів було прийнято про невикористання переважного права акціонерами на придбання акцій додаткової емісії у процесі їх розміщення.</w:t>
            </w:r>
          </w:p>
        </w:tc>
      </w:tr>
    </w:tbl>
    <w:p w14:paraId="7CCA6794" w14:textId="77777777" w:rsidR="00B474FE" w:rsidRDefault="00B474FE"/>
    <w:sectPr w:rsidR="00B474FE">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66CE3" w14:textId="77777777" w:rsidR="00B474FE" w:rsidRDefault="00B474FE">
      <w:pPr>
        <w:spacing w:after="0" w:line="240" w:lineRule="auto"/>
      </w:pPr>
      <w:r>
        <w:separator/>
      </w:r>
    </w:p>
  </w:endnote>
  <w:endnote w:type="continuationSeparator" w:id="0">
    <w:p w14:paraId="155AFD52" w14:textId="77777777" w:rsidR="00B474FE" w:rsidRDefault="00B47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42E32"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CF0304">
      <w:rPr>
        <w:rFonts w:ascii="Times New Roman" w:hAnsi="Times New Roman" w:cs="Times New Roman"/>
        <w:kern w:val="0"/>
        <w:sz w:val="20"/>
        <w:szCs w:val="20"/>
        <w:lang w:val="ru-RU"/>
      </w:rPr>
      <w:fldChar w:fldCharType="separate"/>
    </w:r>
    <w:r w:rsidR="00CF0304">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E329C" w14:textId="77777777" w:rsidR="00B474FE" w:rsidRDefault="00B474FE">
      <w:pPr>
        <w:spacing w:after="0" w:line="240" w:lineRule="auto"/>
      </w:pPr>
      <w:r>
        <w:separator/>
      </w:r>
    </w:p>
  </w:footnote>
  <w:footnote w:type="continuationSeparator" w:id="0">
    <w:p w14:paraId="67FA82C0" w14:textId="77777777" w:rsidR="00B474FE" w:rsidRDefault="00B474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304"/>
    <w:rsid w:val="00200BE3"/>
    <w:rsid w:val="00B474FE"/>
    <w:rsid w:val="00CF03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59CA7C"/>
  <w14:defaultImageDpi w14:val="0"/>
  <w15:docId w15:val="{34CBF6AA-8CB0-417E-9B3A-F5CDA418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3664</Words>
  <Characters>2089</Characters>
  <Application>Microsoft Office Word</Application>
  <DocSecurity>0</DocSecurity>
  <Lines>17</Lines>
  <Paragraphs>11</Paragraphs>
  <ScaleCrop>false</ScaleCrop>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2025-04-11T13:30:00Z</dcterms:created>
  <dcterms:modified xsi:type="dcterms:W3CDTF">2025-04-11T13:30:00Z</dcterms:modified>
</cp:coreProperties>
</file>