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30CE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0B7315D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4FACBDA1"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5919D92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16.04.2025</w:t>
            </w:r>
          </w:p>
        </w:tc>
      </w:tr>
      <w:tr w:rsidR="00000000" w14:paraId="0EF891BE"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30F3AB1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07C5A155"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70FBD27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98</w:t>
            </w:r>
          </w:p>
        </w:tc>
      </w:tr>
      <w:tr w:rsidR="00000000" w14:paraId="5B7F080A" w14:textId="77777777">
        <w:tblPrEx>
          <w:tblCellMar>
            <w:top w:w="0" w:type="dxa"/>
            <w:bottom w:w="0" w:type="dxa"/>
          </w:tblCellMar>
        </w:tblPrEx>
        <w:trPr>
          <w:trHeight w:val="300"/>
        </w:trPr>
        <w:tc>
          <w:tcPr>
            <w:tcW w:w="5230" w:type="dxa"/>
            <w:tcBorders>
              <w:top w:val="nil"/>
              <w:left w:val="nil"/>
              <w:bottom w:val="nil"/>
              <w:right w:val="nil"/>
            </w:tcBorders>
            <w:vAlign w:val="bottom"/>
          </w:tcPr>
          <w:p w14:paraId="43CAF0A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33644B8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2304B73B" w14:textId="77777777">
        <w:tblPrEx>
          <w:tblCellMar>
            <w:top w:w="0" w:type="dxa"/>
            <w:bottom w:w="0" w:type="dxa"/>
          </w:tblCellMar>
        </w:tblPrEx>
        <w:trPr>
          <w:trHeight w:val="300"/>
        </w:trPr>
        <w:tc>
          <w:tcPr>
            <w:tcW w:w="10465" w:type="dxa"/>
            <w:tcBorders>
              <w:top w:val="nil"/>
              <w:left w:val="nil"/>
              <w:bottom w:val="nil"/>
              <w:right w:val="nil"/>
            </w:tcBorders>
            <w:vAlign w:val="bottom"/>
          </w:tcPr>
          <w:p w14:paraId="29B1BF4D"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06F60623"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6DF24377"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27562CE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3006737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028951C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6912670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0207527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165916E0" w14:textId="77777777">
        <w:tblPrEx>
          <w:tblCellMar>
            <w:top w:w="0" w:type="dxa"/>
            <w:bottom w:w="0" w:type="dxa"/>
          </w:tblCellMar>
        </w:tblPrEx>
        <w:trPr>
          <w:trHeight w:val="200"/>
        </w:trPr>
        <w:tc>
          <w:tcPr>
            <w:tcW w:w="3415" w:type="dxa"/>
            <w:tcBorders>
              <w:top w:val="nil"/>
              <w:left w:val="nil"/>
              <w:bottom w:val="nil"/>
              <w:right w:val="nil"/>
            </w:tcBorders>
          </w:tcPr>
          <w:p w14:paraId="02130F9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3049D8D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1C117B4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65B3B10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399B500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72CF410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13FF79F9"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4AF70ED0"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030014B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35283B9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63834B7A"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3EF37192"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1C58B73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127AB12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07E9C5C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2E565DFB"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4260407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01963714"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7ACBBAED"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74CF0CE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2523FE8E" w14:textId="77777777">
        <w:tblPrEx>
          <w:tblCellMar>
            <w:top w:w="0" w:type="dxa"/>
            <w:bottom w:w="0" w:type="dxa"/>
          </w:tblCellMar>
        </w:tblPrEx>
        <w:trPr>
          <w:trHeight w:val="300"/>
        </w:trPr>
        <w:tc>
          <w:tcPr>
            <w:tcW w:w="3415" w:type="dxa"/>
            <w:vMerge w:val="restart"/>
            <w:tcBorders>
              <w:top w:val="nil"/>
              <w:left w:val="nil"/>
              <w:bottom w:val="nil"/>
              <w:right w:val="nil"/>
            </w:tcBorders>
          </w:tcPr>
          <w:p w14:paraId="4630155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3DAFE02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1F373CC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16.04.2025</w:t>
            </w:r>
          </w:p>
        </w:tc>
      </w:tr>
      <w:tr w:rsidR="00000000" w14:paraId="7007344D" w14:textId="77777777">
        <w:tblPrEx>
          <w:tblCellMar>
            <w:top w:w="0" w:type="dxa"/>
            <w:bottom w:w="0" w:type="dxa"/>
          </w:tblCellMar>
        </w:tblPrEx>
        <w:trPr>
          <w:trHeight w:val="300"/>
        </w:trPr>
        <w:tc>
          <w:tcPr>
            <w:tcW w:w="3415" w:type="dxa"/>
            <w:vMerge/>
            <w:tcBorders>
              <w:top w:val="nil"/>
              <w:left w:val="nil"/>
              <w:bottom w:val="nil"/>
              <w:right w:val="nil"/>
            </w:tcBorders>
          </w:tcPr>
          <w:p w14:paraId="70E95A03"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432F096B"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7E89301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5F6E6CA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2A4C08A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41F5E14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зміну акціонерів, яким належать голосуючі акції, розмір пакета яких стає більшим, меншим або рівним пороговому значенню пакета акцій</w:t>
      </w:r>
    </w:p>
    <w:p w14:paraId="10CFB05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3900"/>
        <w:gridCol w:w="3000"/>
        <w:gridCol w:w="1500"/>
        <w:gridCol w:w="1500"/>
        <w:gridCol w:w="1500"/>
        <w:gridCol w:w="1500"/>
      </w:tblGrid>
      <w:tr w:rsidR="00000000" w14:paraId="1B8A0D5B"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0AABD943"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2000" w:type="dxa"/>
            <w:tcBorders>
              <w:top w:val="single" w:sz="6" w:space="0" w:color="auto"/>
              <w:left w:val="single" w:sz="6" w:space="0" w:color="auto"/>
              <w:bottom w:val="single" w:sz="6" w:space="0" w:color="auto"/>
              <w:right w:val="single" w:sz="6" w:space="0" w:color="auto"/>
            </w:tcBorders>
            <w:vAlign w:val="center"/>
          </w:tcPr>
          <w:p w14:paraId="7DBA9DE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отримання інформації від  Центрального депозитарію цінних паперів або акціонера</w:t>
            </w:r>
          </w:p>
        </w:tc>
        <w:tc>
          <w:tcPr>
            <w:tcW w:w="3900" w:type="dxa"/>
            <w:tcBorders>
              <w:top w:val="single" w:sz="6" w:space="0" w:color="auto"/>
              <w:left w:val="single" w:sz="6" w:space="0" w:color="auto"/>
              <w:bottom w:val="single" w:sz="6" w:space="0" w:color="auto"/>
              <w:right w:val="single" w:sz="6" w:space="0" w:color="auto"/>
            </w:tcBorders>
            <w:vAlign w:val="center"/>
          </w:tcPr>
          <w:p w14:paraId="7B489A74"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Ім’я або повне найменування власника акцій</w:t>
            </w:r>
          </w:p>
        </w:tc>
        <w:tc>
          <w:tcPr>
            <w:tcW w:w="3000" w:type="dxa"/>
            <w:tcBorders>
              <w:top w:val="single" w:sz="6" w:space="0" w:color="auto"/>
              <w:left w:val="single" w:sz="6" w:space="0" w:color="auto"/>
              <w:bottom w:val="single" w:sz="6" w:space="0" w:color="auto"/>
              <w:right w:val="single" w:sz="6" w:space="0" w:color="auto"/>
            </w:tcBorders>
            <w:vAlign w:val="center"/>
          </w:tcPr>
          <w:p w14:paraId="2B5A57F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Ідентифікаційний код юридичної особи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1500" w:type="dxa"/>
            <w:tcBorders>
              <w:top w:val="single" w:sz="6" w:space="0" w:color="auto"/>
              <w:left w:val="single" w:sz="6" w:space="0" w:color="auto"/>
              <w:bottom w:val="single" w:sz="6" w:space="0" w:color="auto"/>
              <w:right w:val="single" w:sz="6" w:space="0" w:color="auto"/>
            </w:tcBorders>
            <w:vAlign w:val="center"/>
          </w:tcPr>
          <w:p w14:paraId="43EC7F82"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РНОКПП</w:t>
            </w:r>
          </w:p>
        </w:tc>
        <w:tc>
          <w:tcPr>
            <w:tcW w:w="1500" w:type="dxa"/>
            <w:tcBorders>
              <w:top w:val="single" w:sz="6" w:space="0" w:color="auto"/>
              <w:left w:val="single" w:sz="6" w:space="0" w:color="auto"/>
              <w:bottom w:val="single" w:sz="6" w:space="0" w:color="auto"/>
              <w:right w:val="single" w:sz="6" w:space="0" w:color="auto"/>
            </w:tcBorders>
            <w:vAlign w:val="center"/>
          </w:tcPr>
          <w:p w14:paraId="62E47897"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УНЗР</w:t>
            </w:r>
          </w:p>
        </w:tc>
        <w:tc>
          <w:tcPr>
            <w:tcW w:w="1500" w:type="dxa"/>
            <w:tcBorders>
              <w:top w:val="single" w:sz="6" w:space="0" w:color="auto"/>
              <w:left w:val="single" w:sz="6" w:space="0" w:color="auto"/>
              <w:bottom w:val="single" w:sz="6" w:space="0" w:color="auto"/>
              <w:right w:val="single" w:sz="6" w:space="0" w:color="auto"/>
            </w:tcBorders>
            <w:vAlign w:val="center"/>
          </w:tcPr>
          <w:p w14:paraId="71F314F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до зміни (у відсотках до статутного капіталу)</w:t>
            </w:r>
          </w:p>
        </w:tc>
        <w:tc>
          <w:tcPr>
            <w:tcW w:w="1500" w:type="dxa"/>
            <w:tcBorders>
              <w:top w:val="single" w:sz="6" w:space="0" w:color="auto"/>
              <w:left w:val="single" w:sz="6" w:space="0" w:color="auto"/>
              <w:bottom w:val="single" w:sz="6" w:space="0" w:color="auto"/>
            </w:tcBorders>
            <w:vAlign w:val="center"/>
          </w:tcPr>
          <w:p w14:paraId="15774476"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Розмір частки акціонера після зміни (у відсотках до статутного капіталу)</w:t>
            </w:r>
          </w:p>
        </w:tc>
      </w:tr>
      <w:tr w:rsidR="00000000" w14:paraId="1E8FA499"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1A2F0F2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14:paraId="1A656D1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3900" w:type="dxa"/>
            <w:tcBorders>
              <w:top w:val="single" w:sz="6" w:space="0" w:color="auto"/>
              <w:left w:val="single" w:sz="6" w:space="0" w:color="auto"/>
              <w:bottom w:val="single" w:sz="6" w:space="0" w:color="auto"/>
              <w:right w:val="single" w:sz="6" w:space="0" w:color="auto"/>
            </w:tcBorders>
            <w:vAlign w:val="center"/>
          </w:tcPr>
          <w:p w14:paraId="4016D2F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14:paraId="46A9004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1500" w:type="dxa"/>
            <w:tcBorders>
              <w:top w:val="single" w:sz="6" w:space="0" w:color="auto"/>
              <w:left w:val="single" w:sz="6" w:space="0" w:color="auto"/>
              <w:bottom w:val="single" w:sz="6" w:space="0" w:color="auto"/>
              <w:right w:val="single" w:sz="6" w:space="0" w:color="auto"/>
            </w:tcBorders>
            <w:vAlign w:val="center"/>
          </w:tcPr>
          <w:p w14:paraId="5C7BE7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14:paraId="1874A44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14:paraId="4DD01BDA"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7</w:t>
            </w:r>
          </w:p>
        </w:tc>
        <w:tc>
          <w:tcPr>
            <w:tcW w:w="1500" w:type="dxa"/>
            <w:tcBorders>
              <w:top w:val="single" w:sz="6" w:space="0" w:color="auto"/>
              <w:left w:val="single" w:sz="6" w:space="0" w:color="auto"/>
              <w:bottom w:val="single" w:sz="6" w:space="0" w:color="auto"/>
            </w:tcBorders>
            <w:vAlign w:val="center"/>
          </w:tcPr>
          <w:p w14:paraId="43C95A0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8</w:t>
            </w:r>
          </w:p>
        </w:tc>
      </w:tr>
      <w:tr w:rsidR="00000000" w14:paraId="5CAB6E38"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07AA443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2000" w:type="dxa"/>
            <w:tcBorders>
              <w:top w:val="single" w:sz="6" w:space="0" w:color="auto"/>
              <w:left w:val="single" w:sz="6" w:space="0" w:color="auto"/>
              <w:bottom w:val="single" w:sz="6" w:space="0" w:color="auto"/>
              <w:right w:val="single" w:sz="6" w:space="0" w:color="auto"/>
            </w:tcBorders>
          </w:tcPr>
          <w:p w14:paraId="2A06F80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16.04.2025</w:t>
            </w:r>
          </w:p>
        </w:tc>
        <w:tc>
          <w:tcPr>
            <w:tcW w:w="3900" w:type="dxa"/>
            <w:tcBorders>
              <w:top w:val="single" w:sz="6" w:space="0" w:color="auto"/>
              <w:left w:val="single" w:sz="6" w:space="0" w:color="auto"/>
              <w:bottom w:val="single" w:sz="6" w:space="0" w:color="auto"/>
              <w:right w:val="single" w:sz="6" w:space="0" w:color="auto"/>
            </w:tcBorders>
          </w:tcPr>
          <w:p w14:paraId="6864D69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Інна Володимирівна</w:t>
            </w:r>
          </w:p>
        </w:tc>
        <w:tc>
          <w:tcPr>
            <w:tcW w:w="3000" w:type="dxa"/>
            <w:tcBorders>
              <w:top w:val="single" w:sz="6" w:space="0" w:color="auto"/>
              <w:left w:val="single" w:sz="6" w:space="0" w:color="auto"/>
              <w:bottom w:val="single" w:sz="6" w:space="0" w:color="auto"/>
              <w:right w:val="single" w:sz="6" w:space="0" w:color="auto"/>
            </w:tcBorders>
          </w:tcPr>
          <w:p w14:paraId="7F8845D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 </w:t>
            </w:r>
          </w:p>
        </w:tc>
        <w:tc>
          <w:tcPr>
            <w:tcW w:w="1500" w:type="dxa"/>
            <w:tcBorders>
              <w:top w:val="single" w:sz="6" w:space="0" w:color="auto"/>
              <w:left w:val="single" w:sz="6" w:space="0" w:color="auto"/>
              <w:bottom w:val="single" w:sz="6" w:space="0" w:color="auto"/>
              <w:right w:val="single" w:sz="6" w:space="0" w:color="auto"/>
            </w:tcBorders>
          </w:tcPr>
          <w:p w14:paraId="29EC997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74C8E31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59BBE5C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51,000042</w:t>
            </w:r>
          </w:p>
        </w:tc>
        <w:tc>
          <w:tcPr>
            <w:tcW w:w="1500" w:type="dxa"/>
            <w:tcBorders>
              <w:top w:val="single" w:sz="6" w:space="0" w:color="auto"/>
              <w:left w:val="single" w:sz="6" w:space="0" w:color="auto"/>
              <w:bottom w:val="single" w:sz="6" w:space="0" w:color="auto"/>
            </w:tcBorders>
          </w:tcPr>
          <w:p w14:paraId="186B04F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0,000039</w:t>
            </w:r>
          </w:p>
        </w:tc>
      </w:tr>
      <w:tr w:rsidR="00000000" w14:paraId="02A2C924"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37B05467"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7C7B3F2B"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3A0B15C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отримання інформації від Центрального депозитарію цінних паперів: 16.04.2025.</w:t>
            </w:r>
          </w:p>
          <w:p w14:paraId="564EAFB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Ім’я власника акцій, якому належать голосуючі акції, розмір пакета яких стає більшим, меншим або рівним пороговому значенню пакета акцій: Бондар Інна Володимирівна.</w:t>
            </w:r>
          </w:p>
          <w:p w14:paraId="23B7A9B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 відчуження, яким чином (прямо або опосередковано) вона відбувалась- прямо.</w:t>
            </w:r>
          </w:p>
          <w:p w14:paraId="57F7A29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відчуження права власності на такий пакет акцій (підсумковий пакет голосуючих акцій): 67,57%.</w:t>
            </w:r>
          </w:p>
          <w:p w14:paraId="52250FAF"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відчуження права власності на такий пакет акцій (підсумковий пакет голосуючих акцій): 0,000052%.</w:t>
            </w:r>
          </w:p>
          <w:p w14:paraId="72D79971"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(ім’я або повне найменування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здійснює(здійснюють) розпорядження акціями: відсутні.</w:t>
            </w:r>
          </w:p>
          <w:p w14:paraId="5426815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в яку порогові значення було досягнуто або </w:t>
            </w:r>
            <w:proofErr w:type="spellStart"/>
            <w:r>
              <w:rPr>
                <w:rFonts w:ascii="Times New Roman" w:hAnsi="Times New Roman" w:cs="Times New Roman"/>
                <w:kern w:val="0"/>
                <w:sz w:val="20"/>
                <w:szCs w:val="20"/>
              </w:rPr>
              <w:t>перетнуто</w:t>
            </w:r>
            <w:proofErr w:type="spellEnd"/>
            <w:r>
              <w:rPr>
                <w:rFonts w:ascii="Times New Roman" w:hAnsi="Times New Roman" w:cs="Times New Roman"/>
                <w:kern w:val="0"/>
                <w:sz w:val="20"/>
                <w:szCs w:val="20"/>
              </w:rPr>
              <w:t xml:space="preserve"> (за наявності): 14.04.2025.</w:t>
            </w:r>
          </w:p>
          <w:p w14:paraId="643C685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Додаткова інформація, необхідна для повного і точного розкриття інформації про дію, виходячи з конкретних умов фінансово-господарської діяльності емітента: відсутня. </w:t>
            </w:r>
          </w:p>
        </w:tc>
      </w:tr>
      <w:tr w:rsidR="00000000" w14:paraId="23BA14AA"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1F3360F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2000" w:type="dxa"/>
            <w:tcBorders>
              <w:top w:val="single" w:sz="6" w:space="0" w:color="auto"/>
              <w:left w:val="single" w:sz="6" w:space="0" w:color="auto"/>
              <w:bottom w:val="single" w:sz="6" w:space="0" w:color="auto"/>
              <w:right w:val="single" w:sz="6" w:space="0" w:color="auto"/>
            </w:tcBorders>
          </w:tcPr>
          <w:p w14:paraId="111B9F7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16.04.2025</w:t>
            </w:r>
          </w:p>
        </w:tc>
        <w:tc>
          <w:tcPr>
            <w:tcW w:w="3900" w:type="dxa"/>
            <w:tcBorders>
              <w:top w:val="single" w:sz="6" w:space="0" w:color="auto"/>
              <w:left w:val="single" w:sz="6" w:space="0" w:color="auto"/>
              <w:bottom w:val="single" w:sz="6" w:space="0" w:color="auto"/>
              <w:right w:val="single" w:sz="6" w:space="0" w:color="auto"/>
            </w:tcBorders>
          </w:tcPr>
          <w:p w14:paraId="6BC0CFB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Бондар Ганна Олександрівна</w:t>
            </w:r>
          </w:p>
        </w:tc>
        <w:tc>
          <w:tcPr>
            <w:tcW w:w="3000" w:type="dxa"/>
            <w:tcBorders>
              <w:top w:val="single" w:sz="6" w:space="0" w:color="auto"/>
              <w:left w:val="single" w:sz="6" w:space="0" w:color="auto"/>
              <w:bottom w:val="single" w:sz="6" w:space="0" w:color="auto"/>
              <w:right w:val="single" w:sz="6" w:space="0" w:color="auto"/>
            </w:tcBorders>
          </w:tcPr>
          <w:p w14:paraId="5EECE67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 xml:space="preserve"> </w:t>
            </w:r>
          </w:p>
        </w:tc>
        <w:tc>
          <w:tcPr>
            <w:tcW w:w="1500" w:type="dxa"/>
            <w:tcBorders>
              <w:top w:val="single" w:sz="6" w:space="0" w:color="auto"/>
              <w:left w:val="single" w:sz="6" w:space="0" w:color="auto"/>
              <w:bottom w:val="single" w:sz="6" w:space="0" w:color="auto"/>
              <w:right w:val="single" w:sz="6" w:space="0" w:color="auto"/>
            </w:tcBorders>
          </w:tcPr>
          <w:p w14:paraId="41520E0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03F07E6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1500" w:type="dxa"/>
            <w:tcBorders>
              <w:top w:val="single" w:sz="6" w:space="0" w:color="auto"/>
              <w:left w:val="single" w:sz="6" w:space="0" w:color="auto"/>
              <w:bottom w:val="single" w:sz="6" w:space="0" w:color="auto"/>
              <w:right w:val="single" w:sz="6" w:space="0" w:color="auto"/>
            </w:tcBorders>
          </w:tcPr>
          <w:p w14:paraId="3C2F06A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24,47</w:t>
            </w:r>
          </w:p>
        </w:tc>
        <w:tc>
          <w:tcPr>
            <w:tcW w:w="1500" w:type="dxa"/>
            <w:tcBorders>
              <w:top w:val="single" w:sz="6" w:space="0" w:color="auto"/>
              <w:left w:val="single" w:sz="6" w:space="0" w:color="auto"/>
              <w:bottom w:val="single" w:sz="6" w:space="0" w:color="auto"/>
            </w:tcBorders>
          </w:tcPr>
          <w:p w14:paraId="731FBD9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75,47</w:t>
            </w:r>
          </w:p>
        </w:tc>
      </w:tr>
      <w:tr w:rsidR="00000000" w14:paraId="01EF1DE1"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34B79580"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6139D0BA" w14:textId="77777777">
        <w:tblPrEx>
          <w:tblCellMar>
            <w:top w:w="0" w:type="dxa"/>
            <w:bottom w:w="0" w:type="dxa"/>
          </w:tblCellMar>
        </w:tblPrEx>
        <w:trPr>
          <w:trHeight w:val="300"/>
        </w:trPr>
        <w:tc>
          <w:tcPr>
            <w:tcW w:w="15400" w:type="dxa"/>
            <w:gridSpan w:val="8"/>
            <w:tcBorders>
              <w:top w:val="single" w:sz="6" w:space="0" w:color="auto"/>
              <w:bottom w:val="single" w:sz="6" w:space="0" w:color="auto"/>
            </w:tcBorders>
            <w:vAlign w:val="center"/>
          </w:tcPr>
          <w:p w14:paraId="4D59F41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отримання інформації від Центрального депозитарію цінних паперів: 16.04.2025.</w:t>
            </w:r>
          </w:p>
          <w:p w14:paraId="0EF4F3E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Ім’я власника акцій, якому належать голосуючі акції, розмір пакета яких стає більшим, меншим або рівним пороговому значенню пакета акцій: Бондар Ганна Олександрівна.</w:t>
            </w:r>
          </w:p>
          <w:p w14:paraId="663E2A47"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Дія (набуття або відчуження) – відчуження, яким чином (прямо або опосередковано) вона відбувалась- прямо.</w:t>
            </w:r>
          </w:p>
          <w:p w14:paraId="79E8D09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до відчуження права власності на такий пакет акцій (підсумковий пакет голосуючих акцій): 32,43%.</w:t>
            </w:r>
          </w:p>
          <w:p w14:paraId="73961E4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Розмір частки власника акцій в загальній кількості голосуючих акцій після відчуження права власності на такий пакет акцій (підсумковий пакет голосуючих акцій): 99,999843%.</w:t>
            </w:r>
          </w:p>
          <w:p w14:paraId="6115185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Відомості про осіб (ім’я або повне найменування та ідентифікаційний код юридичної особи, відсоток прав голосу, якщо він дорівнює або перевищує порогове значення), які входять до ланцюга володіння корпоративними правами юридичної особи, через яких особа (особи, що діють спільно) здійснює(здійснюють) розпорядження акціями: відсутні.</w:t>
            </w:r>
          </w:p>
          <w:p w14:paraId="015457A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Дата, в яку порогові значення було досягнуто або </w:t>
            </w:r>
            <w:proofErr w:type="spellStart"/>
            <w:r>
              <w:rPr>
                <w:rFonts w:ascii="Times New Roman" w:hAnsi="Times New Roman" w:cs="Times New Roman"/>
                <w:kern w:val="0"/>
                <w:sz w:val="20"/>
                <w:szCs w:val="20"/>
              </w:rPr>
              <w:t>перетнуто</w:t>
            </w:r>
            <w:proofErr w:type="spellEnd"/>
            <w:r>
              <w:rPr>
                <w:rFonts w:ascii="Times New Roman" w:hAnsi="Times New Roman" w:cs="Times New Roman"/>
                <w:kern w:val="0"/>
                <w:sz w:val="20"/>
                <w:szCs w:val="20"/>
              </w:rPr>
              <w:t xml:space="preserve"> (за наявності): 14.04.2025.</w:t>
            </w:r>
          </w:p>
          <w:p w14:paraId="1BB3F13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Додаткова інформація, необхідна для повного і точного розкриття інформації про дію, виходячи з конкретних умов фінансово-господарської діяльності емітента: відсутня.  </w:t>
            </w:r>
          </w:p>
        </w:tc>
      </w:tr>
    </w:tbl>
    <w:p w14:paraId="02095DAE" w14:textId="77777777" w:rsidR="007B14D3" w:rsidRDefault="007B14D3"/>
    <w:sectPr w:rsidR="007B14D3">
      <w:pgSz w:w="16837" w:h="11905" w:orient="landscape"/>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DBD00" w14:textId="77777777" w:rsidR="007B14D3" w:rsidRDefault="007B14D3">
      <w:pPr>
        <w:spacing w:after="0" w:line="240" w:lineRule="auto"/>
      </w:pPr>
      <w:r>
        <w:separator/>
      </w:r>
    </w:p>
  </w:endnote>
  <w:endnote w:type="continuationSeparator" w:id="0">
    <w:p w14:paraId="03645279" w14:textId="77777777" w:rsidR="007B14D3" w:rsidRDefault="007B14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D4578"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B95BB1">
      <w:rPr>
        <w:rFonts w:ascii="Times New Roman" w:hAnsi="Times New Roman" w:cs="Times New Roman"/>
        <w:kern w:val="0"/>
        <w:sz w:val="20"/>
        <w:szCs w:val="20"/>
        <w:lang w:val="ru-RU"/>
      </w:rPr>
      <w:fldChar w:fldCharType="separate"/>
    </w:r>
    <w:r w:rsidR="00B95BB1">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F6B9A" w14:textId="77777777" w:rsidR="007B14D3" w:rsidRDefault="007B14D3">
      <w:pPr>
        <w:spacing w:after="0" w:line="240" w:lineRule="auto"/>
      </w:pPr>
      <w:r>
        <w:separator/>
      </w:r>
    </w:p>
  </w:footnote>
  <w:footnote w:type="continuationSeparator" w:id="0">
    <w:p w14:paraId="7EC18E20" w14:textId="77777777" w:rsidR="007B14D3" w:rsidRDefault="007B14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BB1"/>
    <w:rsid w:val="007B14D3"/>
    <w:rsid w:val="00B95BB1"/>
    <w:rsid w:val="00E033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B79EB4"/>
  <w14:defaultImageDpi w14:val="0"/>
  <w15:docId w15:val="{E768F73B-FF4B-4EEF-A23C-55AFBB10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3767</Words>
  <Characters>2148</Characters>
  <Application>Microsoft Office Word</Application>
  <DocSecurity>0</DocSecurity>
  <Lines>17</Lines>
  <Paragraphs>11</Paragraphs>
  <ScaleCrop>false</ScaleCrop>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2025-04-16T13:01:00Z</dcterms:created>
  <dcterms:modified xsi:type="dcterms:W3CDTF">2025-04-16T13:01:00Z</dcterms:modified>
</cp:coreProperties>
</file>