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9DEBF4"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8"/>
          <w:szCs w:val="28"/>
        </w:rPr>
      </w:pPr>
      <w:r>
        <w:rPr>
          <w:rFonts w:ascii="Times New Roman" w:hAnsi="Times New Roman" w:cs="Times New Roman"/>
          <w:b/>
          <w:bCs/>
          <w:kern w:val="0"/>
          <w:sz w:val="28"/>
          <w:szCs w:val="28"/>
        </w:rPr>
        <w:t>ТИТУЛЬНИЙ АРКУШ</w:t>
      </w:r>
    </w:p>
    <w:p w14:paraId="0171D373"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8"/>
          <w:szCs w:val="28"/>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30"/>
      </w:tblGrid>
      <w:tr w:rsidR="00000000" w14:paraId="7E4590E7" w14:textId="77777777">
        <w:tblPrEx>
          <w:tblCellMar>
            <w:top w:w="0" w:type="dxa"/>
            <w:bottom w:w="0" w:type="dxa"/>
          </w:tblCellMar>
        </w:tblPrEx>
        <w:trPr>
          <w:trHeight w:val="300"/>
        </w:trPr>
        <w:tc>
          <w:tcPr>
            <w:tcW w:w="5230" w:type="dxa"/>
            <w:tcBorders>
              <w:top w:val="nil"/>
              <w:left w:val="nil"/>
              <w:bottom w:val="single" w:sz="6" w:space="0" w:color="auto"/>
              <w:right w:val="nil"/>
            </w:tcBorders>
            <w:vAlign w:val="bottom"/>
          </w:tcPr>
          <w:p w14:paraId="06C99429"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r>
              <w:rPr>
                <w:rFonts w:ascii="Times New Roman" w:hAnsi="Times New Roman" w:cs="Times New Roman"/>
                <w:kern w:val="0"/>
              </w:rPr>
              <w:t>14.04.2025</w:t>
            </w:r>
          </w:p>
        </w:tc>
      </w:tr>
      <w:tr w:rsidR="00000000" w14:paraId="7E736973" w14:textId="77777777">
        <w:tblPrEx>
          <w:tblBorders>
            <w:bottom w:val="none" w:sz="0" w:space="0" w:color="auto"/>
          </w:tblBorders>
          <w:tblCellMar>
            <w:top w:w="0" w:type="dxa"/>
            <w:bottom w:w="0" w:type="dxa"/>
          </w:tblCellMar>
        </w:tblPrEx>
        <w:trPr>
          <w:trHeight w:val="300"/>
        </w:trPr>
        <w:tc>
          <w:tcPr>
            <w:tcW w:w="5230" w:type="dxa"/>
            <w:tcBorders>
              <w:top w:val="nil"/>
              <w:left w:val="nil"/>
              <w:bottom w:val="nil"/>
              <w:right w:val="nil"/>
            </w:tcBorders>
            <w:vAlign w:val="bottom"/>
          </w:tcPr>
          <w:p w14:paraId="4DD4F979"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(дата реєстрації емітентом електронного документа)</w:t>
            </w:r>
          </w:p>
        </w:tc>
      </w:tr>
      <w:tr w:rsidR="00000000" w14:paraId="45FE2FC3" w14:textId="77777777">
        <w:tblPrEx>
          <w:tblCellMar>
            <w:top w:w="0" w:type="dxa"/>
            <w:bottom w:w="0" w:type="dxa"/>
          </w:tblCellMar>
        </w:tblPrEx>
        <w:trPr>
          <w:trHeight w:val="300"/>
        </w:trPr>
        <w:tc>
          <w:tcPr>
            <w:tcW w:w="5230" w:type="dxa"/>
            <w:tcBorders>
              <w:top w:val="nil"/>
              <w:left w:val="nil"/>
              <w:bottom w:val="single" w:sz="6" w:space="0" w:color="auto"/>
              <w:right w:val="nil"/>
            </w:tcBorders>
            <w:vAlign w:val="bottom"/>
          </w:tcPr>
          <w:p w14:paraId="2CA16075"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r>
              <w:rPr>
                <w:rFonts w:ascii="Times New Roman" w:hAnsi="Times New Roman" w:cs="Times New Roman"/>
                <w:kern w:val="0"/>
              </w:rPr>
              <w:t>89</w:t>
            </w:r>
          </w:p>
        </w:tc>
      </w:tr>
      <w:tr w:rsidR="00000000" w14:paraId="64E30715" w14:textId="77777777">
        <w:tblPrEx>
          <w:tblCellMar>
            <w:top w:w="0" w:type="dxa"/>
            <w:bottom w:w="0" w:type="dxa"/>
          </w:tblCellMar>
        </w:tblPrEx>
        <w:trPr>
          <w:trHeight w:val="300"/>
        </w:trPr>
        <w:tc>
          <w:tcPr>
            <w:tcW w:w="5230" w:type="dxa"/>
            <w:tcBorders>
              <w:top w:val="nil"/>
              <w:left w:val="nil"/>
              <w:bottom w:val="nil"/>
              <w:right w:val="nil"/>
            </w:tcBorders>
            <w:vAlign w:val="bottom"/>
          </w:tcPr>
          <w:p w14:paraId="437B1BB7"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(вихідний реєстраційний номер електронного документа)</w:t>
            </w:r>
          </w:p>
        </w:tc>
      </w:tr>
    </w:tbl>
    <w:p w14:paraId="74939508"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pPr>
      <w:r>
        <w:rPr>
          <w:rFonts w:ascii="Times New Roman" w:hAnsi="Times New Roman" w:cs="Times New Roman"/>
          <w:kern w:val="0"/>
          <w:sz w:val="20"/>
          <w:szCs w:val="20"/>
        </w:rPr>
        <w:t xml:space="preserve">      </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0465"/>
      </w:tblGrid>
      <w:tr w:rsidR="00000000" w14:paraId="2F372FC1" w14:textId="77777777">
        <w:tblPrEx>
          <w:tblCellMar>
            <w:top w:w="0" w:type="dxa"/>
            <w:bottom w:w="0" w:type="dxa"/>
          </w:tblCellMar>
        </w:tblPrEx>
        <w:trPr>
          <w:trHeight w:val="300"/>
        </w:trPr>
        <w:tc>
          <w:tcPr>
            <w:tcW w:w="10465" w:type="dxa"/>
            <w:tcBorders>
              <w:top w:val="nil"/>
              <w:left w:val="nil"/>
              <w:bottom w:val="nil"/>
              <w:right w:val="nil"/>
            </w:tcBorders>
            <w:vAlign w:val="bottom"/>
          </w:tcPr>
          <w:p w14:paraId="5CC93D07"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а також особами, які надають забезпечення за такими цінними паперами (далі - Положення).</w:t>
            </w:r>
          </w:p>
        </w:tc>
      </w:tr>
    </w:tbl>
    <w:p w14:paraId="732FBC67"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415"/>
        <w:gridCol w:w="236"/>
        <w:gridCol w:w="3334"/>
        <w:gridCol w:w="236"/>
        <w:gridCol w:w="3284"/>
      </w:tblGrid>
      <w:tr w:rsidR="00000000" w14:paraId="4B4854BE" w14:textId="77777777">
        <w:tblPrEx>
          <w:tblCellMar>
            <w:top w:w="0" w:type="dxa"/>
            <w:bottom w:w="0" w:type="dxa"/>
          </w:tblCellMar>
        </w:tblPrEx>
        <w:trPr>
          <w:trHeight w:val="200"/>
        </w:trPr>
        <w:tc>
          <w:tcPr>
            <w:tcW w:w="3415" w:type="dxa"/>
            <w:tcBorders>
              <w:top w:val="nil"/>
              <w:left w:val="nil"/>
              <w:bottom w:val="single" w:sz="6" w:space="0" w:color="auto"/>
              <w:right w:val="nil"/>
            </w:tcBorders>
            <w:vAlign w:val="bottom"/>
          </w:tcPr>
          <w:p w14:paraId="095BAB97"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r>
              <w:rPr>
                <w:rFonts w:ascii="Times New Roman" w:hAnsi="Times New Roman" w:cs="Times New Roman"/>
                <w:kern w:val="0"/>
              </w:rPr>
              <w:t>Генеральний директор</w:t>
            </w:r>
          </w:p>
        </w:tc>
        <w:tc>
          <w:tcPr>
            <w:tcW w:w="216" w:type="dxa"/>
            <w:tcBorders>
              <w:top w:val="nil"/>
              <w:left w:val="nil"/>
              <w:bottom w:val="nil"/>
              <w:right w:val="nil"/>
            </w:tcBorders>
          </w:tcPr>
          <w:p w14:paraId="1CD27030"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p>
        </w:tc>
        <w:tc>
          <w:tcPr>
            <w:tcW w:w="3334" w:type="dxa"/>
            <w:tcBorders>
              <w:top w:val="nil"/>
              <w:left w:val="nil"/>
              <w:bottom w:val="single" w:sz="6" w:space="0" w:color="auto"/>
              <w:right w:val="nil"/>
            </w:tcBorders>
            <w:vAlign w:val="bottom"/>
          </w:tcPr>
          <w:p w14:paraId="50269AFB"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p>
        </w:tc>
        <w:tc>
          <w:tcPr>
            <w:tcW w:w="216" w:type="dxa"/>
            <w:tcBorders>
              <w:top w:val="nil"/>
              <w:left w:val="nil"/>
              <w:bottom w:val="nil"/>
              <w:right w:val="nil"/>
            </w:tcBorders>
          </w:tcPr>
          <w:p w14:paraId="74147C34"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p>
        </w:tc>
        <w:tc>
          <w:tcPr>
            <w:tcW w:w="3284" w:type="dxa"/>
            <w:tcBorders>
              <w:top w:val="nil"/>
              <w:left w:val="nil"/>
              <w:bottom w:val="single" w:sz="6" w:space="0" w:color="auto"/>
              <w:right w:val="nil"/>
            </w:tcBorders>
            <w:vAlign w:val="bottom"/>
          </w:tcPr>
          <w:p w14:paraId="50EDBBBE"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proofErr w:type="spellStart"/>
            <w:r>
              <w:rPr>
                <w:rFonts w:ascii="Times New Roman" w:hAnsi="Times New Roman" w:cs="Times New Roman"/>
                <w:kern w:val="0"/>
              </w:rPr>
              <w:t>Швачiй</w:t>
            </w:r>
            <w:proofErr w:type="spellEnd"/>
            <w:r>
              <w:rPr>
                <w:rFonts w:ascii="Times New Roman" w:hAnsi="Times New Roman" w:cs="Times New Roman"/>
                <w:kern w:val="0"/>
              </w:rPr>
              <w:t xml:space="preserve"> О.П.</w:t>
            </w:r>
          </w:p>
        </w:tc>
      </w:tr>
      <w:tr w:rsidR="00000000" w14:paraId="37A32DC0" w14:textId="77777777">
        <w:tblPrEx>
          <w:tblCellMar>
            <w:top w:w="0" w:type="dxa"/>
            <w:bottom w:w="0" w:type="dxa"/>
          </w:tblCellMar>
        </w:tblPrEx>
        <w:trPr>
          <w:trHeight w:val="200"/>
        </w:trPr>
        <w:tc>
          <w:tcPr>
            <w:tcW w:w="3415" w:type="dxa"/>
            <w:tcBorders>
              <w:top w:val="nil"/>
              <w:left w:val="nil"/>
              <w:bottom w:val="nil"/>
              <w:right w:val="nil"/>
            </w:tcBorders>
          </w:tcPr>
          <w:p w14:paraId="30E7EC5E"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(посада)</w:t>
            </w:r>
          </w:p>
        </w:tc>
        <w:tc>
          <w:tcPr>
            <w:tcW w:w="216" w:type="dxa"/>
            <w:tcBorders>
              <w:top w:val="nil"/>
              <w:left w:val="nil"/>
              <w:bottom w:val="nil"/>
              <w:right w:val="nil"/>
            </w:tcBorders>
          </w:tcPr>
          <w:p w14:paraId="4C63A8D7"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p>
        </w:tc>
        <w:tc>
          <w:tcPr>
            <w:tcW w:w="3334" w:type="dxa"/>
            <w:tcBorders>
              <w:top w:val="nil"/>
              <w:left w:val="nil"/>
              <w:bottom w:val="nil"/>
              <w:right w:val="nil"/>
            </w:tcBorders>
          </w:tcPr>
          <w:p w14:paraId="26512004"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(місце для накладання електронного підпису уповноваженої особи емітента/ особи, яка надає забезпечення, що базується на кваліфікованому сертифікаті відкритого ключа)</w:t>
            </w:r>
          </w:p>
        </w:tc>
        <w:tc>
          <w:tcPr>
            <w:tcW w:w="216" w:type="dxa"/>
            <w:tcBorders>
              <w:top w:val="nil"/>
              <w:left w:val="nil"/>
              <w:bottom w:val="nil"/>
              <w:right w:val="nil"/>
            </w:tcBorders>
          </w:tcPr>
          <w:p w14:paraId="1146001D"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p>
        </w:tc>
        <w:tc>
          <w:tcPr>
            <w:tcW w:w="3284" w:type="dxa"/>
            <w:tcBorders>
              <w:top w:val="nil"/>
              <w:left w:val="nil"/>
              <w:bottom w:val="nil"/>
              <w:right w:val="nil"/>
            </w:tcBorders>
          </w:tcPr>
          <w:p w14:paraId="457F1706"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(прізвище та ініціали керівника або уповноваженої особи емітента)</w:t>
            </w:r>
          </w:p>
        </w:tc>
      </w:tr>
    </w:tbl>
    <w:p w14:paraId="0A1F0029"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pPr>
    </w:p>
    <w:p w14:paraId="6255DD77"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8"/>
          <w:szCs w:val="28"/>
        </w:rPr>
      </w:pPr>
      <w:r>
        <w:rPr>
          <w:rFonts w:ascii="Times New Roman" w:hAnsi="Times New Roman" w:cs="Times New Roman"/>
          <w:b/>
          <w:bCs/>
          <w:kern w:val="0"/>
          <w:sz w:val="28"/>
          <w:szCs w:val="28"/>
        </w:rPr>
        <w:t>Особлива інформація / інформація про іпотечні цінні папери/ сертифікати фонду операцій з нерухомістю емітента</w:t>
      </w:r>
    </w:p>
    <w:p w14:paraId="131DFD64" w14:textId="77777777" w:rsidR="00000000" w:rsidRDefault="00000000">
      <w:pPr>
        <w:widowControl w:val="0"/>
        <w:autoSpaceDE w:val="0"/>
        <w:autoSpaceDN w:val="0"/>
        <w:adjustRightInd w:val="0"/>
        <w:spacing w:after="0" w:line="240" w:lineRule="auto"/>
        <w:rPr>
          <w:rFonts w:ascii="Times New Roman" w:hAnsi="Times New Roman" w:cs="Times New Roman"/>
          <w:b/>
          <w:bCs/>
          <w:kern w:val="0"/>
          <w:sz w:val="28"/>
          <w:szCs w:val="28"/>
        </w:rPr>
      </w:pPr>
    </w:p>
    <w:p w14:paraId="008EB308"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r>
        <w:rPr>
          <w:rFonts w:ascii="Times New Roman" w:hAnsi="Times New Roman" w:cs="Times New Roman"/>
          <w:b/>
          <w:bCs/>
          <w:kern w:val="0"/>
        </w:rPr>
        <w:t>І. Загальні відомості</w:t>
      </w:r>
    </w:p>
    <w:p w14:paraId="7D76FB3E"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rPr>
      </w:pPr>
      <w:r>
        <w:rPr>
          <w:rFonts w:ascii="Times New Roman" w:hAnsi="Times New Roman" w:cs="Times New Roman"/>
          <w:kern w:val="0"/>
        </w:rPr>
        <w:t xml:space="preserve">1. Повне найменування: Приватне </w:t>
      </w:r>
      <w:proofErr w:type="spellStart"/>
      <w:r>
        <w:rPr>
          <w:rFonts w:ascii="Times New Roman" w:hAnsi="Times New Roman" w:cs="Times New Roman"/>
          <w:kern w:val="0"/>
        </w:rPr>
        <w:t>акцiонерне</w:t>
      </w:r>
      <w:proofErr w:type="spellEnd"/>
      <w:r>
        <w:rPr>
          <w:rFonts w:ascii="Times New Roman" w:hAnsi="Times New Roman" w:cs="Times New Roman"/>
          <w:kern w:val="0"/>
        </w:rPr>
        <w:t xml:space="preserve"> товариство "</w:t>
      </w:r>
      <w:proofErr w:type="spellStart"/>
      <w:r>
        <w:rPr>
          <w:rFonts w:ascii="Times New Roman" w:hAnsi="Times New Roman" w:cs="Times New Roman"/>
          <w:kern w:val="0"/>
        </w:rPr>
        <w:t>Вiнницьке</w:t>
      </w:r>
      <w:proofErr w:type="spellEnd"/>
      <w:r>
        <w:rPr>
          <w:rFonts w:ascii="Times New Roman" w:hAnsi="Times New Roman" w:cs="Times New Roman"/>
          <w:kern w:val="0"/>
        </w:rPr>
        <w:t xml:space="preserve"> обласне </w:t>
      </w:r>
      <w:proofErr w:type="spellStart"/>
      <w:r>
        <w:rPr>
          <w:rFonts w:ascii="Times New Roman" w:hAnsi="Times New Roman" w:cs="Times New Roman"/>
          <w:kern w:val="0"/>
        </w:rPr>
        <w:t>пiдприємство</w:t>
      </w:r>
      <w:proofErr w:type="spellEnd"/>
      <w:r>
        <w:rPr>
          <w:rFonts w:ascii="Times New Roman" w:hAnsi="Times New Roman" w:cs="Times New Roman"/>
          <w:kern w:val="0"/>
        </w:rPr>
        <w:t xml:space="preserve"> автобусних </w:t>
      </w:r>
      <w:proofErr w:type="spellStart"/>
      <w:r>
        <w:rPr>
          <w:rFonts w:ascii="Times New Roman" w:hAnsi="Times New Roman" w:cs="Times New Roman"/>
          <w:kern w:val="0"/>
        </w:rPr>
        <w:t>станцiй</w:t>
      </w:r>
      <w:proofErr w:type="spellEnd"/>
      <w:r>
        <w:rPr>
          <w:rFonts w:ascii="Times New Roman" w:hAnsi="Times New Roman" w:cs="Times New Roman"/>
          <w:kern w:val="0"/>
        </w:rPr>
        <w:t xml:space="preserve"> 10599"</w:t>
      </w:r>
    </w:p>
    <w:p w14:paraId="58916259"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2. Організаційно-правова форма: Акціонерне товариство</w:t>
      </w:r>
    </w:p>
    <w:p w14:paraId="5C76DA34"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 xml:space="preserve">3. Місцезнаходження: 21009, Вінницька обл., Вінницький р-н, м. </w:t>
      </w:r>
      <w:proofErr w:type="spellStart"/>
      <w:r>
        <w:rPr>
          <w:rFonts w:ascii="Times New Roman" w:hAnsi="Times New Roman" w:cs="Times New Roman"/>
          <w:kern w:val="0"/>
        </w:rPr>
        <w:t>Вiнниця</w:t>
      </w:r>
      <w:proofErr w:type="spellEnd"/>
      <w:r>
        <w:rPr>
          <w:rFonts w:ascii="Times New Roman" w:hAnsi="Times New Roman" w:cs="Times New Roman"/>
          <w:kern w:val="0"/>
        </w:rPr>
        <w:t>, вул. Київська, 8</w:t>
      </w:r>
    </w:p>
    <w:p w14:paraId="569DEFFB"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4. Ідентифікаційний код юридичної особи: 03115815</w:t>
      </w:r>
    </w:p>
    <w:p w14:paraId="040C4A07"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5. Міжміський код та номер телефону: (0432)67-32-72</w:t>
      </w:r>
    </w:p>
    <w:p w14:paraId="668099D9"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6. Адреса електронної пошти, яка є офіційним каналом зв’язку: vopas@vn.bus.com.ua</w:t>
      </w:r>
    </w:p>
    <w:p w14:paraId="6E9B1995"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 xml:space="preserve">7. Повне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ринках капіталу та організованих товарних ринках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 (у разі здійснення оприлюднення): </w:t>
      </w:r>
    </w:p>
    <w:p w14:paraId="4F315DB7"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8. Повне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ринках капіталу та організованих товарних ринках, особи, яка здійснює подання звітності та/або звітних даних до НКЦПФР (у разі, якщо емітент не подає інформацію до НКЦПФР безпосередньо): Державна установа "Агентство з розвитку інфраструктури фондового ринку України", 21676262, Україна, DR/00002/ARM</w:t>
      </w:r>
    </w:p>
    <w:p w14:paraId="33E52799"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p>
    <w:p w14:paraId="792CE48E"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rPr>
      </w:pPr>
      <w:r>
        <w:rPr>
          <w:rFonts w:ascii="Times New Roman" w:hAnsi="Times New Roman" w:cs="Times New Roman"/>
          <w:b/>
          <w:bCs/>
          <w:kern w:val="0"/>
        </w:rPr>
        <w:t xml:space="preserve">ІІ. Дані про дату та місце оприлюднення інформації </w:t>
      </w:r>
    </w:p>
    <w:p w14:paraId="4A4922D5"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415"/>
        <w:gridCol w:w="5165"/>
        <w:gridCol w:w="1885"/>
      </w:tblGrid>
      <w:tr w:rsidR="00000000" w14:paraId="70CDA97F" w14:textId="77777777">
        <w:tblPrEx>
          <w:tblCellMar>
            <w:top w:w="0" w:type="dxa"/>
            <w:bottom w:w="0" w:type="dxa"/>
          </w:tblCellMar>
        </w:tblPrEx>
        <w:trPr>
          <w:trHeight w:val="300"/>
        </w:trPr>
        <w:tc>
          <w:tcPr>
            <w:tcW w:w="3415" w:type="dxa"/>
            <w:vMerge w:val="restart"/>
            <w:tcBorders>
              <w:top w:val="nil"/>
              <w:left w:val="nil"/>
              <w:bottom w:val="nil"/>
              <w:right w:val="nil"/>
            </w:tcBorders>
          </w:tcPr>
          <w:p w14:paraId="72CA19F8"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Інформація розміщена на власному вебсайті емітента</w:t>
            </w:r>
          </w:p>
        </w:tc>
        <w:tc>
          <w:tcPr>
            <w:tcW w:w="5165" w:type="dxa"/>
            <w:tcBorders>
              <w:top w:val="nil"/>
              <w:left w:val="nil"/>
              <w:bottom w:val="single" w:sz="6" w:space="0" w:color="auto"/>
              <w:right w:val="nil"/>
            </w:tcBorders>
            <w:vAlign w:val="bottom"/>
          </w:tcPr>
          <w:p w14:paraId="4E534211"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r>
              <w:rPr>
                <w:rFonts w:ascii="Times New Roman" w:hAnsi="Times New Roman" w:cs="Times New Roman"/>
                <w:kern w:val="0"/>
              </w:rPr>
              <w:t>http://vopas.emitents.net.ua/ua/docs/?fg_id=101</w:t>
            </w:r>
          </w:p>
        </w:tc>
        <w:tc>
          <w:tcPr>
            <w:tcW w:w="1885" w:type="dxa"/>
            <w:tcBorders>
              <w:top w:val="nil"/>
              <w:left w:val="nil"/>
              <w:bottom w:val="single" w:sz="6" w:space="0" w:color="auto"/>
              <w:right w:val="nil"/>
            </w:tcBorders>
            <w:vAlign w:val="bottom"/>
          </w:tcPr>
          <w:p w14:paraId="6B1A737E"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r>
              <w:rPr>
                <w:rFonts w:ascii="Times New Roman" w:hAnsi="Times New Roman" w:cs="Times New Roman"/>
                <w:kern w:val="0"/>
              </w:rPr>
              <w:t>14.04.2025</w:t>
            </w:r>
          </w:p>
        </w:tc>
      </w:tr>
      <w:tr w:rsidR="00000000" w14:paraId="26BCC6AE" w14:textId="77777777">
        <w:tblPrEx>
          <w:tblCellMar>
            <w:top w:w="0" w:type="dxa"/>
            <w:bottom w:w="0" w:type="dxa"/>
          </w:tblCellMar>
        </w:tblPrEx>
        <w:trPr>
          <w:trHeight w:val="300"/>
        </w:trPr>
        <w:tc>
          <w:tcPr>
            <w:tcW w:w="3415" w:type="dxa"/>
            <w:vMerge/>
            <w:tcBorders>
              <w:top w:val="nil"/>
              <w:left w:val="nil"/>
              <w:bottom w:val="nil"/>
              <w:right w:val="nil"/>
            </w:tcBorders>
          </w:tcPr>
          <w:p w14:paraId="1CEC6FBD"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pPr>
          </w:p>
        </w:tc>
        <w:tc>
          <w:tcPr>
            <w:tcW w:w="5165" w:type="dxa"/>
            <w:tcBorders>
              <w:top w:val="nil"/>
              <w:left w:val="nil"/>
              <w:bottom w:val="nil"/>
              <w:right w:val="nil"/>
            </w:tcBorders>
            <w:vAlign w:val="bottom"/>
          </w:tcPr>
          <w:p w14:paraId="35877037"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(URL-адреса вебсайту)</w:t>
            </w:r>
          </w:p>
        </w:tc>
        <w:tc>
          <w:tcPr>
            <w:tcW w:w="1885" w:type="dxa"/>
            <w:tcBorders>
              <w:top w:val="nil"/>
              <w:left w:val="nil"/>
              <w:bottom w:val="nil"/>
              <w:right w:val="nil"/>
            </w:tcBorders>
            <w:vAlign w:val="bottom"/>
          </w:tcPr>
          <w:p w14:paraId="27E8BD8E"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(дата)</w:t>
            </w:r>
          </w:p>
        </w:tc>
      </w:tr>
    </w:tbl>
    <w:p w14:paraId="331ECFBD"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sectPr w:rsidR="00000000">
          <w:footerReference w:type="default" r:id="rId6"/>
          <w:pgSz w:w="11905" w:h="16837"/>
          <w:pgMar w:top="570" w:right="720" w:bottom="570" w:left="720" w:header="708" w:footer="360" w:gutter="0"/>
          <w:pgNumType w:start="1"/>
          <w:cols w:space="720"/>
          <w:noEndnote/>
        </w:sectPr>
      </w:pPr>
    </w:p>
    <w:p w14:paraId="401446EC"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8"/>
          <w:szCs w:val="28"/>
        </w:rPr>
      </w:pPr>
      <w:r>
        <w:rPr>
          <w:rFonts w:ascii="Times New Roman" w:hAnsi="Times New Roman" w:cs="Times New Roman"/>
          <w:b/>
          <w:bCs/>
          <w:kern w:val="0"/>
          <w:sz w:val="28"/>
          <w:szCs w:val="28"/>
        </w:rPr>
        <w:lastRenderedPageBreak/>
        <w:t>ВІДОМОСТІ</w:t>
      </w:r>
    </w:p>
    <w:p w14:paraId="64F1AD97"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8"/>
          <w:szCs w:val="28"/>
        </w:rPr>
      </w:pPr>
      <w:r>
        <w:rPr>
          <w:rFonts w:ascii="Times New Roman" w:hAnsi="Times New Roman" w:cs="Times New Roman"/>
          <w:b/>
          <w:bCs/>
          <w:kern w:val="0"/>
          <w:sz w:val="28"/>
          <w:szCs w:val="28"/>
        </w:rPr>
        <w:t>про зміну акціонерів, яким належать голосуючі акції, розмір пакета яких стає більшим, меншим або рівним пороговому значенню пакета акцій</w:t>
      </w:r>
    </w:p>
    <w:p w14:paraId="269D5C3D"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8"/>
          <w:szCs w:val="28"/>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00"/>
        <w:gridCol w:w="2000"/>
        <w:gridCol w:w="3900"/>
        <w:gridCol w:w="3000"/>
        <w:gridCol w:w="1500"/>
        <w:gridCol w:w="1500"/>
        <w:gridCol w:w="1500"/>
        <w:gridCol w:w="1500"/>
      </w:tblGrid>
      <w:tr w:rsidR="00000000" w14:paraId="65C090CF" w14:textId="77777777">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14:paraId="7DE85697"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0"/>
                <w:szCs w:val="20"/>
              </w:rPr>
            </w:pPr>
            <w:r>
              <w:rPr>
                <w:rFonts w:ascii="Times New Roman" w:hAnsi="Times New Roman" w:cs="Times New Roman"/>
                <w:b/>
                <w:bCs/>
                <w:kern w:val="0"/>
                <w:sz w:val="20"/>
                <w:szCs w:val="20"/>
              </w:rPr>
              <w:t>№ з/п</w:t>
            </w:r>
          </w:p>
        </w:tc>
        <w:tc>
          <w:tcPr>
            <w:tcW w:w="2000" w:type="dxa"/>
            <w:tcBorders>
              <w:top w:val="single" w:sz="6" w:space="0" w:color="auto"/>
              <w:left w:val="single" w:sz="6" w:space="0" w:color="auto"/>
              <w:bottom w:val="single" w:sz="6" w:space="0" w:color="auto"/>
              <w:right w:val="single" w:sz="6" w:space="0" w:color="auto"/>
            </w:tcBorders>
            <w:vAlign w:val="center"/>
          </w:tcPr>
          <w:p w14:paraId="554ED52B"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0"/>
                <w:szCs w:val="20"/>
              </w:rPr>
            </w:pPr>
            <w:r>
              <w:rPr>
                <w:rFonts w:ascii="Times New Roman" w:hAnsi="Times New Roman" w:cs="Times New Roman"/>
                <w:b/>
                <w:bCs/>
                <w:kern w:val="0"/>
                <w:sz w:val="20"/>
                <w:szCs w:val="20"/>
              </w:rPr>
              <w:t>Дата отримання інформації від  Центрального депозитарію цінних паперів або акціонера</w:t>
            </w:r>
          </w:p>
        </w:tc>
        <w:tc>
          <w:tcPr>
            <w:tcW w:w="3900" w:type="dxa"/>
            <w:tcBorders>
              <w:top w:val="single" w:sz="6" w:space="0" w:color="auto"/>
              <w:left w:val="single" w:sz="6" w:space="0" w:color="auto"/>
              <w:bottom w:val="single" w:sz="6" w:space="0" w:color="auto"/>
              <w:right w:val="single" w:sz="6" w:space="0" w:color="auto"/>
            </w:tcBorders>
            <w:vAlign w:val="center"/>
          </w:tcPr>
          <w:p w14:paraId="4C54A544"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0"/>
                <w:szCs w:val="20"/>
              </w:rPr>
            </w:pPr>
            <w:r>
              <w:rPr>
                <w:rFonts w:ascii="Times New Roman" w:hAnsi="Times New Roman" w:cs="Times New Roman"/>
                <w:b/>
                <w:bCs/>
                <w:kern w:val="0"/>
                <w:sz w:val="20"/>
                <w:szCs w:val="20"/>
              </w:rPr>
              <w:t>Ім’я або повне найменування власника акцій</w:t>
            </w:r>
          </w:p>
        </w:tc>
        <w:tc>
          <w:tcPr>
            <w:tcW w:w="3000" w:type="dxa"/>
            <w:tcBorders>
              <w:top w:val="single" w:sz="6" w:space="0" w:color="auto"/>
              <w:left w:val="single" w:sz="6" w:space="0" w:color="auto"/>
              <w:bottom w:val="single" w:sz="6" w:space="0" w:color="auto"/>
              <w:right w:val="single" w:sz="6" w:space="0" w:color="auto"/>
            </w:tcBorders>
            <w:vAlign w:val="center"/>
          </w:tcPr>
          <w:p w14:paraId="665508F4"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0"/>
                <w:szCs w:val="20"/>
              </w:rPr>
            </w:pPr>
            <w:r>
              <w:rPr>
                <w:rFonts w:ascii="Times New Roman" w:hAnsi="Times New Roman" w:cs="Times New Roman"/>
                <w:b/>
                <w:bCs/>
                <w:kern w:val="0"/>
                <w:sz w:val="20"/>
                <w:szCs w:val="20"/>
              </w:rPr>
              <w:t>Ідентифікаційний код юридичної особи юридичної особи - резидента або код/номер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 нерезидента</w:t>
            </w:r>
          </w:p>
        </w:tc>
        <w:tc>
          <w:tcPr>
            <w:tcW w:w="1500" w:type="dxa"/>
            <w:tcBorders>
              <w:top w:val="single" w:sz="6" w:space="0" w:color="auto"/>
              <w:left w:val="single" w:sz="6" w:space="0" w:color="auto"/>
              <w:bottom w:val="single" w:sz="6" w:space="0" w:color="auto"/>
              <w:right w:val="single" w:sz="6" w:space="0" w:color="auto"/>
            </w:tcBorders>
            <w:vAlign w:val="center"/>
          </w:tcPr>
          <w:p w14:paraId="67455E04"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0"/>
                <w:szCs w:val="20"/>
              </w:rPr>
            </w:pPr>
            <w:r>
              <w:rPr>
                <w:rFonts w:ascii="Times New Roman" w:hAnsi="Times New Roman" w:cs="Times New Roman"/>
                <w:b/>
                <w:bCs/>
                <w:kern w:val="0"/>
                <w:sz w:val="20"/>
                <w:szCs w:val="20"/>
              </w:rPr>
              <w:t>РНОКПП</w:t>
            </w:r>
          </w:p>
        </w:tc>
        <w:tc>
          <w:tcPr>
            <w:tcW w:w="1500" w:type="dxa"/>
            <w:tcBorders>
              <w:top w:val="single" w:sz="6" w:space="0" w:color="auto"/>
              <w:left w:val="single" w:sz="6" w:space="0" w:color="auto"/>
              <w:bottom w:val="single" w:sz="6" w:space="0" w:color="auto"/>
              <w:right w:val="single" w:sz="6" w:space="0" w:color="auto"/>
            </w:tcBorders>
            <w:vAlign w:val="center"/>
          </w:tcPr>
          <w:p w14:paraId="6B34B670"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0"/>
                <w:szCs w:val="20"/>
              </w:rPr>
            </w:pPr>
            <w:r>
              <w:rPr>
                <w:rFonts w:ascii="Times New Roman" w:hAnsi="Times New Roman" w:cs="Times New Roman"/>
                <w:b/>
                <w:bCs/>
                <w:kern w:val="0"/>
                <w:sz w:val="20"/>
                <w:szCs w:val="20"/>
              </w:rPr>
              <w:t>УНЗР</w:t>
            </w:r>
          </w:p>
        </w:tc>
        <w:tc>
          <w:tcPr>
            <w:tcW w:w="1500" w:type="dxa"/>
            <w:tcBorders>
              <w:top w:val="single" w:sz="6" w:space="0" w:color="auto"/>
              <w:left w:val="single" w:sz="6" w:space="0" w:color="auto"/>
              <w:bottom w:val="single" w:sz="6" w:space="0" w:color="auto"/>
              <w:right w:val="single" w:sz="6" w:space="0" w:color="auto"/>
            </w:tcBorders>
            <w:vAlign w:val="center"/>
          </w:tcPr>
          <w:p w14:paraId="6047D19C"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0"/>
                <w:szCs w:val="20"/>
              </w:rPr>
            </w:pPr>
            <w:r>
              <w:rPr>
                <w:rFonts w:ascii="Times New Roman" w:hAnsi="Times New Roman" w:cs="Times New Roman"/>
                <w:b/>
                <w:bCs/>
                <w:kern w:val="0"/>
                <w:sz w:val="20"/>
                <w:szCs w:val="20"/>
              </w:rPr>
              <w:t>Розмір частки акціонера до зміни (у відсотках до статутного капіталу)</w:t>
            </w:r>
          </w:p>
        </w:tc>
        <w:tc>
          <w:tcPr>
            <w:tcW w:w="1500" w:type="dxa"/>
            <w:tcBorders>
              <w:top w:val="single" w:sz="6" w:space="0" w:color="auto"/>
              <w:left w:val="single" w:sz="6" w:space="0" w:color="auto"/>
              <w:bottom w:val="single" w:sz="6" w:space="0" w:color="auto"/>
            </w:tcBorders>
            <w:vAlign w:val="center"/>
          </w:tcPr>
          <w:p w14:paraId="3E412F4E"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0"/>
                <w:szCs w:val="20"/>
              </w:rPr>
            </w:pPr>
            <w:r>
              <w:rPr>
                <w:rFonts w:ascii="Times New Roman" w:hAnsi="Times New Roman" w:cs="Times New Roman"/>
                <w:b/>
                <w:bCs/>
                <w:kern w:val="0"/>
                <w:sz w:val="20"/>
                <w:szCs w:val="20"/>
              </w:rPr>
              <w:t>Розмір частки акціонера після зміни (у відсотках до статутного капіталу)</w:t>
            </w:r>
          </w:p>
        </w:tc>
      </w:tr>
      <w:tr w:rsidR="00000000" w14:paraId="3E23880E" w14:textId="77777777">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14:paraId="27804E5C"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1</w:t>
            </w:r>
          </w:p>
        </w:tc>
        <w:tc>
          <w:tcPr>
            <w:tcW w:w="2000" w:type="dxa"/>
            <w:tcBorders>
              <w:top w:val="single" w:sz="6" w:space="0" w:color="auto"/>
              <w:left w:val="single" w:sz="6" w:space="0" w:color="auto"/>
              <w:bottom w:val="single" w:sz="6" w:space="0" w:color="auto"/>
              <w:right w:val="single" w:sz="6" w:space="0" w:color="auto"/>
            </w:tcBorders>
            <w:vAlign w:val="center"/>
          </w:tcPr>
          <w:p w14:paraId="004AEE40"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2</w:t>
            </w:r>
          </w:p>
        </w:tc>
        <w:tc>
          <w:tcPr>
            <w:tcW w:w="3900" w:type="dxa"/>
            <w:tcBorders>
              <w:top w:val="single" w:sz="6" w:space="0" w:color="auto"/>
              <w:left w:val="single" w:sz="6" w:space="0" w:color="auto"/>
              <w:bottom w:val="single" w:sz="6" w:space="0" w:color="auto"/>
              <w:right w:val="single" w:sz="6" w:space="0" w:color="auto"/>
            </w:tcBorders>
            <w:vAlign w:val="center"/>
          </w:tcPr>
          <w:p w14:paraId="55A2C406"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3</w:t>
            </w:r>
          </w:p>
        </w:tc>
        <w:tc>
          <w:tcPr>
            <w:tcW w:w="3000" w:type="dxa"/>
            <w:tcBorders>
              <w:top w:val="single" w:sz="6" w:space="0" w:color="auto"/>
              <w:left w:val="single" w:sz="6" w:space="0" w:color="auto"/>
              <w:bottom w:val="single" w:sz="6" w:space="0" w:color="auto"/>
              <w:right w:val="single" w:sz="6" w:space="0" w:color="auto"/>
            </w:tcBorders>
            <w:vAlign w:val="center"/>
          </w:tcPr>
          <w:p w14:paraId="6046EB8D"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4</w:t>
            </w:r>
          </w:p>
        </w:tc>
        <w:tc>
          <w:tcPr>
            <w:tcW w:w="1500" w:type="dxa"/>
            <w:tcBorders>
              <w:top w:val="single" w:sz="6" w:space="0" w:color="auto"/>
              <w:left w:val="single" w:sz="6" w:space="0" w:color="auto"/>
              <w:bottom w:val="single" w:sz="6" w:space="0" w:color="auto"/>
              <w:right w:val="single" w:sz="6" w:space="0" w:color="auto"/>
            </w:tcBorders>
            <w:vAlign w:val="center"/>
          </w:tcPr>
          <w:p w14:paraId="1BC7727E"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5</w:t>
            </w:r>
          </w:p>
        </w:tc>
        <w:tc>
          <w:tcPr>
            <w:tcW w:w="1500" w:type="dxa"/>
            <w:tcBorders>
              <w:top w:val="single" w:sz="6" w:space="0" w:color="auto"/>
              <w:left w:val="single" w:sz="6" w:space="0" w:color="auto"/>
              <w:bottom w:val="single" w:sz="6" w:space="0" w:color="auto"/>
              <w:right w:val="single" w:sz="6" w:space="0" w:color="auto"/>
            </w:tcBorders>
            <w:vAlign w:val="center"/>
          </w:tcPr>
          <w:p w14:paraId="4D7FFF53"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6</w:t>
            </w:r>
          </w:p>
        </w:tc>
        <w:tc>
          <w:tcPr>
            <w:tcW w:w="1500" w:type="dxa"/>
            <w:tcBorders>
              <w:top w:val="single" w:sz="6" w:space="0" w:color="auto"/>
              <w:left w:val="single" w:sz="6" w:space="0" w:color="auto"/>
              <w:bottom w:val="single" w:sz="6" w:space="0" w:color="auto"/>
              <w:right w:val="single" w:sz="6" w:space="0" w:color="auto"/>
            </w:tcBorders>
            <w:vAlign w:val="center"/>
          </w:tcPr>
          <w:p w14:paraId="4272EBCB"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7</w:t>
            </w:r>
          </w:p>
        </w:tc>
        <w:tc>
          <w:tcPr>
            <w:tcW w:w="1500" w:type="dxa"/>
            <w:tcBorders>
              <w:top w:val="single" w:sz="6" w:space="0" w:color="auto"/>
              <w:left w:val="single" w:sz="6" w:space="0" w:color="auto"/>
              <w:bottom w:val="single" w:sz="6" w:space="0" w:color="auto"/>
            </w:tcBorders>
            <w:vAlign w:val="center"/>
          </w:tcPr>
          <w:p w14:paraId="4DCCA004"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8</w:t>
            </w:r>
          </w:p>
        </w:tc>
      </w:tr>
      <w:tr w:rsidR="00000000" w14:paraId="1CB5B924" w14:textId="77777777">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tcPr>
          <w:p w14:paraId="74274950"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1</w:t>
            </w:r>
          </w:p>
        </w:tc>
        <w:tc>
          <w:tcPr>
            <w:tcW w:w="2000" w:type="dxa"/>
            <w:tcBorders>
              <w:top w:val="single" w:sz="6" w:space="0" w:color="auto"/>
              <w:left w:val="single" w:sz="6" w:space="0" w:color="auto"/>
              <w:bottom w:val="single" w:sz="6" w:space="0" w:color="auto"/>
              <w:right w:val="single" w:sz="6" w:space="0" w:color="auto"/>
            </w:tcBorders>
          </w:tcPr>
          <w:p w14:paraId="2234862A"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11.04.2025</w:t>
            </w:r>
          </w:p>
        </w:tc>
        <w:tc>
          <w:tcPr>
            <w:tcW w:w="3900" w:type="dxa"/>
            <w:tcBorders>
              <w:top w:val="single" w:sz="6" w:space="0" w:color="auto"/>
              <w:left w:val="single" w:sz="6" w:space="0" w:color="auto"/>
              <w:bottom w:val="single" w:sz="6" w:space="0" w:color="auto"/>
              <w:right w:val="single" w:sz="6" w:space="0" w:color="auto"/>
            </w:tcBorders>
          </w:tcPr>
          <w:p w14:paraId="540BB5B9"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proofErr w:type="spellStart"/>
            <w:r>
              <w:rPr>
                <w:rFonts w:ascii="Times New Roman" w:hAnsi="Times New Roman" w:cs="Times New Roman"/>
                <w:kern w:val="0"/>
                <w:sz w:val="20"/>
                <w:szCs w:val="20"/>
              </w:rPr>
              <w:t>Продівус</w:t>
            </w:r>
            <w:proofErr w:type="spellEnd"/>
            <w:r>
              <w:rPr>
                <w:rFonts w:ascii="Times New Roman" w:hAnsi="Times New Roman" w:cs="Times New Roman"/>
                <w:kern w:val="0"/>
                <w:sz w:val="20"/>
                <w:szCs w:val="20"/>
              </w:rPr>
              <w:t xml:space="preserve"> Світлана Володимирівна</w:t>
            </w:r>
          </w:p>
        </w:tc>
        <w:tc>
          <w:tcPr>
            <w:tcW w:w="3000" w:type="dxa"/>
            <w:tcBorders>
              <w:top w:val="single" w:sz="6" w:space="0" w:color="auto"/>
              <w:left w:val="single" w:sz="6" w:space="0" w:color="auto"/>
              <w:bottom w:val="single" w:sz="6" w:space="0" w:color="auto"/>
              <w:right w:val="single" w:sz="6" w:space="0" w:color="auto"/>
            </w:tcBorders>
          </w:tcPr>
          <w:p w14:paraId="60476A73"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 xml:space="preserve"> </w:t>
            </w:r>
          </w:p>
        </w:tc>
        <w:tc>
          <w:tcPr>
            <w:tcW w:w="1500" w:type="dxa"/>
            <w:tcBorders>
              <w:top w:val="single" w:sz="6" w:space="0" w:color="auto"/>
              <w:left w:val="single" w:sz="6" w:space="0" w:color="auto"/>
              <w:bottom w:val="single" w:sz="6" w:space="0" w:color="auto"/>
              <w:right w:val="single" w:sz="6" w:space="0" w:color="auto"/>
            </w:tcBorders>
          </w:tcPr>
          <w:p w14:paraId="2ECB9B5D"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p>
        </w:tc>
        <w:tc>
          <w:tcPr>
            <w:tcW w:w="1500" w:type="dxa"/>
            <w:tcBorders>
              <w:top w:val="single" w:sz="6" w:space="0" w:color="auto"/>
              <w:left w:val="single" w:sz="6" w:space="0" w:color="auto"/>
              <w:bottom w:val="single" w:sz="6" w:space="0" w:color="auto"/>
              <w:right w:val="single" w:sz="6" w:space="0" w:color="auto"/>
            </w:tcBorders>
          </w:tcPr>
          <w:p w14:paraId="5414139A"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p>
        </w:tc>
        <w:tc>
          <w:tcPr>
            <w:tcW w:w="1500" w:type="dxa"/>
            <w:tcBorders>
              <w:top w:val="single" w:sz="6" w:space="0" w:color="auto"/>
              <w:left w:val="single" w:sz="6" w:space="0" w:color="auto"/>
              <w:bottom w:val="single" w:sz="6" w:space="0" w:color="auto"/>
              <w:right w:val="single" w:sz="6" w:space="0" w:color="auto"/>
            </w:tcBorders>
          </w:tcPr>
          <w:p w14:paraId="2140EC77"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51,000042</w:t>
            </w:r>
          </w:p>
        </w:tc>
        <w:tc>
          <w:tcPr>
            <w:tcW w:w="1500" w:type="dxa"/>
            <w:tcBorders>
              <w:top w:val="single" w:sz="6" w:space="0" w:color="auto"/>
              <w:left w:val="single" w:sz="6" w:space="0" w:color="auto"/>
              <w:bottom w:val="single" w:sz="6" w:space="0" w:color="auto"/>
            </w:tcBorders>
          </w:tcPr>
          <w:p w14:paraId="52BC4BD3"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0,000039</w:t>
            </w:r>
          </w:p>
        </w:tc>
      </w:tr>
      <w:tr w:rsidR="00000000" w14:paraId="6008BE65" w14:textId="77777777">
        <w:tblPrEx>
          <w:tblCellMar>
            <w:top w:w="0" w:type="dxa"/>
            <w:bottom w:w="0" w:type="dxa"/>
          </w:tblCellMar>
        </w:tblPrEx>
        <w:trPr>
          <w:trHeight w:val="300"/>
        </w:trPr>
        <w:tc>
          <w:tcPr>
            <w:tcW w:w="15400" w:type="dxa"/>
            <w:gridSpan w:val="8"/>
            <w:tcBorders>
              <w:top w:val="single" w:sz="6" w:space="0" w:color="auto"/>
              <w:bottom w:val="single" w:sz="6" w:space="0" w:color="auto"/>
            </w:tcBorders>
            <w:vAlign w:val="center"/>
          </w:tcPr>
          <w:p w14:paraId="028C6B9B" w14:textId="77777777" w:rsidR="00000000" w:rsidRDefault="00000000">
            <w:pPr>
              <w:widowControl w:val="0"/>
              <w:autoSpaceDE w:val="0"/>
              <w:autoSpaceDN w:val="0"/>
              <w:adjustRightInd w:val="0"/>
              <w:spacing w:after="0" w:line="240" w:lineRule="auto"/>
              <w:rPr>
                <w:rFonts w:ascii="Times New Roman" w:hAnsi="Times New Roman" w:cs="Times New Roman"/>
                <w:b/>
                <w:bCs/>
                <w:kern w:val="0"/>
                <w:sz w:val="20"/>
                <w:szCs w:val="20"/>
              </w:rPr>
            </w:pPr>
            <w:r>
              <w:rPr>
                <w:rFonts w:ascii="Times New Roman" w:hAnsi="Times New Roman" w:cs="Times New Roman"/>
                <w:b/>
                <w:bCs/>
                <w:kern w:val="0"/>
                <w:sz w:val="20"/>
                <w:szCs w:val="20"/>
              </w:rPr>
              <w:t>Додаткова інформація, необхідна для повного і точного розкриття інформації про дію:</w:t>
            </w:r>
          </w:p>
        </w:tc>
      </w:tr>
      <w:tr w:rsidR="00000000" w14:paraId="0F57AEF0" w14:textId="77777777">
        <w:tblPrEx>
          <w:tblCellMar>
            <w:top w:w="0" w:type="dxa"/>
            <w:bottom w:w="0" w:type="dxa"/>
          </w:tblCellMar>
        </w:tblPrEx>
        <w:trPr>
          <w:trHeight w:val="300"/>
        </w:trPr>
        <w:tc>
          <w:tcPr>
            <w:tcW w:w="15400" w:type="dxa"/>
            <w:gridSpan w:val="8"/>
            <w:tcBorders>
              <w:top w:val="single" w:sz="6" w:space="0" w:color="auto"/>
              <w:bottom w:val="single" w:sz="6" w:space="0" w:color="auto"/>
            </w:tcBorders>
            <w:vAlign w:val="center"/>
          </w:tcPr>
          <w:p w14:paraId="4A7D2586"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Дата отримання інформації від Центрального депозитарію цінних паперів: 11.04.2025.</w:t>
            </w:r>
          </w:p>
          <w:p w14:paraId="3E1567B0"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 xml:space="preserve">Ім’я власника акцій, якому належать голосуючі акції, розмір пакета яких стає більшим, меншим або рівним пороговому значенню пакета акцій: </w:t>
            </w:r>
            <w:proofErr w:type="spellStart"/>
            <w:r>
              <w:rPr>
                <w:rFonts w:ascii="Times New Roman" w:hAnsi="Times New Roman" w:cs="Times New Roman"/>
                <w:kern w:val="0"/>
                <w:sz w:val="20"/>
                <w:szCs w:val="20"/>
              </w:rPr>
              <w:t>Продівус</w:t>
            </w:r>
            <w:proofErr w:type="spellEnd"/>
            <w:r>
              <w:rPr>
                <w:rFonts w:ascii="Times New Roman" w:hAnsi="Times New Roman" w:cs="Times New Roman"/>
                <w:kern w:val="0"/>
                <w:sz w:val="20"/>
                <w:szCs w:val="20"/>
              </w:rPr>
              <w:t xml:space="preserve"> Світлана Володимирівна.</w:t>
            </w:r>
          </w:p>
          <w:p w14:paraId="563794E4"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Дія (набуття або відчуження) – відчуження, яким чином (прямо або опосередковано) вона відбувалась- прямо.</w:t>
            </w:r>
          </w:p>
          <w:p w14:paraId="2D57D362"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Розмір частки власника акцій в загальній кількості голосуючих акцій до відчуження права власності на такий пакет акцій (підсумковий пакет голосуючих акцій): 67,57%.</w:t>
            </w:r>
          </w:p>
          <w:p w14:paraId="1D55274D"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Розмір частки власника акцій в загальній кількості голосуючих акцій після відчуження права власності на такий пакет акцій (підсумковий пакет голосуючих акцій): 0,000052%.</w:t>
            </w:r>
          </w:p>
          <w:p w14:paraId="66D18080"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Відомості про осіб (ім’я або повне найменування та ідентифікаційний код юридичної особи, відсоток прав голосу, якщо він дорівнює або перевищує порогове значення), які входять до ланцюга володіння корпоративними правами юридичної особи, через яких особа (особи, що діють спільно) здійснює(здійснюють) розпорядження акціями: відсутні.</w:t>
            </w:r>
          </w:p>
          <w:p w14:paraId="0E3B8BF0"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 xml:space="preserve">Дата, в яку порогові значення було досягнуто або </w:t>
            </w:r>
            <w:proofErr w:type="spellStart"/>
            <w:r>
              <w:rPr>
                <w:rFonts w:ascii="Times New Roman" w:hAnsi="Times New Roman" w:cs="Times New Roman"/>
                <w:kern w:val="0"/>
                <w:sz w:val="20"/>
                <w:szCs w:val="20"/>
              </w:rPr>
              <w:t>перетнуто</w:t>
            </w:r>
            <w:proofErr w:type="spellEnd"/>
            <w:r>
              <w:rPr>
                <w:rFonts w:ascii="Times New Roman" w:hAnsi="Times New Roman" w:cs="Times New Roman"/>
                <w:kern w:val="0"/>
                <w:sz w:val="20"/>
                <w:szCs w:val="20"/>
              </w:rPr>
              <w:t xml:space="preserve"> (за наявності): 09.04.2025.</w:t>
            </w:r>
          </w:p>
          <w:p w14:paraId="1D743D12"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 xml:space="preserve">Додаткова інформація, необхідна для повного і точного розкриття інформації про дію, виходячи з конкретних умов фінансово-господарської діяльності емітента: відсутня.  </w:t>
            </w:r>
          </w:p>
        </w:tc>
      </w:tr>
      <w:tr w:rsidR="00000000" w14:paraId="20B7CC28" w14:textId="77777777">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tcPr>
          <w:p w14:paraId="31DEE709"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2</w:t>
            </w:r>
          </w:p>
        </w:tc>
        <w:tc>
          <w:tcPr>
            <w:tcW w:w="2000" w:type="dxa"/>
            <w:tcBorders>
              <w:top w:val="single" w:sz="6" w:space="0" w:color="auto"/>
              <w:left w:val="single" w:sz="6" w:space="0" w:color="auto"/>
              <w:bottom w:val="single" w:sz="6" w:space="0" w:color="auto"/>
              <w:right w:val="single" w:sz="6" w:space="0" w:color="auto"/>
            </w:tcBorders>
          </w:tcPr>
          <w:p w14:paraId="4F520070"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11.04.2025</w:t>
            </w:r>
          </w:p>
        </w:tc>
        <w:tc>
          <w:tcPr>
            <w:tcW w:w="3900" w:type="dxa"/>
            <w:tcBorders>
              <w:top w:val="single" w:sz="6" w:space="0" w:color="auto"/>
              <w:left w:val="single" w:sz="6" w:space="0" w:color="auto"/>
              <w:bottom w:val="single" w:sz="6" w:space="0" w:color="auto"/>
              <w:right w:val="single" w:sz="6" w:space="0" w:color="auto"/>
            </w:tcBorders>
          </w:tcPr>
          <w:p w14:paraId="17E79D0F"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Бондар Інна Володимирівна</w:t>
            </w:r>
          </w:p>
        </w:tc>
        <w:tc>
          <w:tcPr>
            <w:tcW w:w="3000" w:type="dxa"/>
            <w:tcBorders>
              <w:top w:val="single" w:sz="6" w:space="0" w:color="auto"/>
              <w:left w:val="single" w:sz="6" w:space="0" w:color="auto"/>
              <w:bottom w:val="single" w:sz="6" w:space="0" w:color="auto"/>
              <w:right w:val="single" w:sz="6" w:space="0" w:color="auto"/>
            </w:tcBorders>
          </w:tcPr>
          <w:p w14:paraId="2B811028"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 xml:space="preserve"> </w:t>
            </w:r>
          </w:p>
        </w:tc>
        <w:tc>
          <w:tcPr>
            <w:tcW w:w="1500" w:type="dxa"/>
            <w:tcBorders>
              <w:top w:val="single" w:sz="6" w:space="0" w:color="auto"/>
              <w:left w:val="single" w:sz="6" w:space="0" w:color="auto"/>
              <w:bottom w:val="single" w:sz="6" w:space="0" w:color="auto"/>
              <w:right w:val="single" w:sz="6" w:space="0" w:color="auto"/>
            </w:tcBorders>
          </w:tcPr>
          <w:p w14:paraId="1155A1DB"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p>
        </w:tc>
        <w:tc>
          <w:tcPr>
            <w:tcW w:w="1500" w:type="dxa"/>
            <w:tcBorders>
              <w:top w:val="single" w:sz="6" w:space="0" w:color="auto"/>
              <w:left w:val="single" w:sz="6" w:space="0" w:color="auto"/>
              <w:bottom w:val="single" w:sz="6" w:space="0" w:color="auto"/>
              <w:right w:val="single" w:sz="6" w:space="0" w:color="auto"/>
            </w:tcBorders>
          </w:tcPr>
          <w:p w14:paraId="1D2F0170"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p>
        </w:tc>
        <w:tc>
          <w:tcPr>
            <w:tcW w:w="1500" w:type="dxa"/>
            <w:tcBorders>
              <w:top w:val="single" w:sz="6" w:space="0" w:color="auto"/>
              <w:left w:val="single" w:sz="6" w:space="0" w:color="auto"/>
              <w:bottom w:val="single" w:sz="6" w:space="0" w:color="auto"/>
              <w:right w:val="single" w:sz="6" w:space="0" w:color="auto"/>
            </w:tcBorders>
          </w:tcPr>
          <w:p w14:paraId="2F56E5FA"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0,000039</w:t>
            </w:r>
          </w:p>
        </w:tc>
        <w:tc>
          <w:tcPr>
            <w:tcW w:w="1500" w:type="dxa"/>
            <w:tcBorders>
              <w:top w:val="single" w:sz="6" w:space="0" w:color="auto"/>
              <w:left w:val="single" w:sz="6" w:space="0" w:color="auto"/>
              <w:bottom w:val="single" w:sz="6" w:space="0" w:color="auto"/>
            </w:tcBorders>
          </w:tcPr>
          <w:p w14:paraId="33C17BD1"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51,000042</w:t>
            </w:r>
          </w:p>
        </w:tc>
      </w:tr>
      <w:tr w:rsidR="00000000" w14:paraId="4F4B5C16" w14:textId="77777777">
        <w:tblPrEx>
          <w:tblCellMar>
            <w:top w:w="0" w:type="dxa"/>
            <w:bottom w:w="0" w:type="dxa"/>
          </w:tblCellMar>
        </w:tblPrEx>
        <w:trPr>
          <w:trHeight w:val="300"/>
        </w:trPr>
        <w:tc>
          <w:tcPr>
            <w:tcW w:w="15400" w:type="dxa"/>
            <w:gridSpan w:val="8"/>
            <w:tcBorders>
              <w:top w:val="single" w:sz="6" w:space="0" w:color="auto"/>
              <w:bottom w:val="single" w:sz="6" w:space="0" w:color="auto"/>
            </w:tcBorders>
            <w:vAlign w:val="center"/>
          </w:tcPr>
          <w:p w14:paraId="461FDC18" w14:textId="77777777" w:rsidR="00000000" w:rsidRDefault="00000000">
            <w:pPr>
              <w:widowControl w:val="0"/>
              <w:autoSpaceDE w:val="0"/>
              <w:autoSpaceDN w:val="0"/>
              <w:adjustRightInd w:val="0"/>
              <w:spacing w:after="0" w:line="240" w:lineRule="auto"/>
              <w:rPr>
                <w:rFonts w:ascii="Times New Roman" w:hAnsi="Times New Roman" w:cs="Times New Roman"/>
                <w:b/>
                <w:bCs/>
                <w:kern w:val="0"/>
                <w:sz w:val="20"/>
                <w:szCs w:val="20"/>
              </w:rPr>
            </w:pPr>
            <w:r>
              <w:rPr>
                <w:rFonts w:ascii="Times New Roman" w:hAnsi="Times New Roman" w:cs="Times New Roman"/>
                <w:b/>
                <w:bCs/>
                <w:kern w:val="0"/>
                <w:sz w:val="20"/>
                <w:szCs w:val="20"/>
              </w:rPr>
              <w:t>Додаткова інформація, необхідна для повного і точного розкриття інформації про дію:</w:t>
            </w:r>
          </w:p>
        </w:tc>
      </w:tr>
      <w:tr w:rsidR="00000000" w14:paraId="6661BB8C" w14:textId="77777777">
        <w:tblPrEx>
          <w:tblCellMar>
            <w:top w:w="0" w:type="dxa"/>
            <w:bottom w:w="0" w:type="dxa"/>
          </w:tblCellMar>
        </w:tblPrEx>
        <w:trPr>
          <w:trHeight w:val="300"/>
        </w:trPr>
        <w:tc>
          <w:tcPr>
            <w:tcW w:w="15400" w:type="dxa"/>
            <w:gridSpan w:val="8"/>
            <w:tcBorders>
              <w:top w:val="single" w:sz="6" w:space="0" w:color="auto"/>
              <w:bottom w:val="single" w:sz="6" w:space="0" w:color="auto"/>
            </w:tcBorders>
            <w:vAlign w:val="center"/>
          </w:tcPr>
          <w:p w14:paraId="191889E4"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Дата отримання інформації від Центрального депозитарію цінних паперів: 11.04.2025.</w:t>
            </w:r>
          </w:p>
          <w:p w14:paraId="5D6EB7C2"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Ім’я власника акцій, якому належать голосуючі акції, розмір пакета яких стає більшим, меншим або рівним пороговому значенню пакета акцій: Бондар Інна Володимирівна.</w:t>
            </w:r>
          </w:p>
          <w:p w14:paraId="7B8C75B3"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Дія (набуття або відчуження) – відчуження, яким чином (прямо або опосередковано) вона відбувалась- прямо.</w:t>
            </w:r>
          </w:p>
          <w:p w14:paraId="568C4744"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Розмір частки власника акцій в загальній кількості голосуючих акцій до відчуження права власності на такий пакет акцій (підсумковий пакет голосуючих акцій): 0,000052%.</w:t>
            </w:r>
          </w:p>
          <w:p w14:paraId="5E96E3A1"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Розмір частки власника акцій в загальній кількості голосуючих акцій після відчуження права власності на такий пакет акцій (підсумковий пакет голосуючих акцій): 67,57%.</w:t>
            </w:r>
          </w:p>
          <w:p w14:paraId="5DA76EDA"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Відомості про осіб (ім’я або повне найменування та ідентифікаційний код юридичної особи, відсоток прав голосу, якщо він дорівнює або перевищує порогове значення), які входять до ланцюга володіння корпоративними правами юридичної особи, через яких особа (особи, що діють спільно) здійснює(здійснюють) розпорядження акціями: відсутні.</w:t>
            </w:r>
          </w:p>
          <w:p w14:paraId="7B549974"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 xml:space="preserve">Дата, в яку порогові значення було досягнуто або </w:t>
            </w:r>
            <w:proofErr w:type="spellStart"/>
            <w:r>
              <w:rPr>
                <w:rFonts w:ascii="Times New Roman" w:hAnsi="Times New Roman" w:cs="Times New Roman"/>
                <w:kern w:val="0"/>
                <w:sz w:val="20"/>
                <w:szCs w:val="20"/>
              </w:rPr>
              <w:t>перетнуто</w:t>
            </w:r>
            <w:proofErr w:type="spellEnd"/>
            <w:r>
              <w:rPr>
                <w:rFonts w:ascii="Times New Roman" w:hAnsi="Times New Roman" w:cs="Times New Roman"/>
                <w:kern w:val="0"/>
                <w:sz w:val="20"/>
                <w:szCs w:val="20"/>
              </w:rPr>
              <w:t xml:space="preserve"> (за наявності): 09.04.2025.</w:t>
            </w:r>
          </w:p>
          <w:p w14:paraId="778FE56F"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 xml:space="preserve">Додаткова інформація, необхідна для повного і точного розкриття інформації про дію, виходячи з конкретних умов фінансово-господарської діяльності емітента: відсутня.  </w:t>
            </w:r>
          </w:p>
        </w:tc>
      </w:tr>
    </w:tbl>
    <w:p w14:paraId="4E64DD2C" w14:textId="77777777" w:rsidR="0029695A" w:rsidRDefault="0029695A"/>
    <w:sectPr w:rsidR="0029695A">
      <w:pgSz w:w="16837" w:h="11905" w:orient="landscape"/>
      <w:pgMar w:top="570" w:right="720" w:bottom="570" w:left="720" w:header="708" w:footer="708"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EB671A" w14:textId="77777777" w:rsidR="0029695A" w:rsidRDefault="0029695A">
      <w:pPr>
        <w:spacing w:after="0" w:line="240" w:lineRule="auto"/>
      </w:pPr>
      <w:r>
        <w:separator/>
      </w:r>
    </w:p>
  </w:endnote>
  <w:endnote w:type="continuationSeparator" w:id="0">
    <w:p w14:paraId="0B0216C3" w14:textId="77777777" w:rsidR="0029695A" w:rsidRDefault="002969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altName w:val="Century Gothic"/>
    <w:panose1 w:val="020F0502020204030204"/>
    <w:charset w:val="CC"/>
    <w:family w:val="swiss"/>
    <w:pitch w:val="variable"/>
    <w:sig w:usb0="E4002EFF" w:usb1="C200247B" w:usb2="00000009" w:usb3="00000000" w:csb0="000001FF" w:csb1="00000000"/>
  </w:font>
  <w:font w:name="Times New Roman">
    <w:altName w:val="Times New Roman PSMT"/>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AE57" w14:textId="77777777" w:rsidR="00000000" w:rsidRDefault="00000000">
    <w:pPr>
      <w:widowControl w:val="0"/>
      <w:autoSpaceDE w:val="0"/>
      <w:autoSpaceDN w:val="0"/>
      <w:adjustRightInd w:val="0"/>
      <w:spacing w:after="0" w:line="240" w:lineRule="auto"/>
      <w:jc w:val="right"/>
      <w:rPr>
        <w:rFonts w:ascii="Times New Roman" w:hAnsi="Times New Roman" w:cs="Times New Roman"/>
        <w:kern w:val="0"/>
        <w:sz w:val="20"/>
        <w:szCs w:val="20"/>
        <w:lang w:val="ru-RU"/>
      </w:rPr>
    </w:pPr>
    <w:r>
      <w:rPr>
        <w:rFonts w:ascii="Times New Roman" w:hAnsi="Times New Roman" w:cs="Times New Roman"/>
        <w:kern w:val="0"/>
        <w:sz w:val="20"/>
        <w:szCs w:val="20"/>
        <w:lang w:val="ru-RU"/>
      </w:rPr>
      <w:fldChar w:fldCharType="begin"/>
    </w:r>
    <w:r>
      <w:rPr>
        <w:rFonts w:ascii="Times New Roman" w:hAnsi="Times New Roman" w:cs="Times New Roman"/>
        <w:kern w:val="0"/>
        <w:sz w:val="20"/>
        <w:szCs w:val="20"/>
        <w:lang w:val="ru-RU"/>
      </w:rPr>
      <w:instrText>PAGE</w:instrText>
    </w:r>
    <w:r w:rsidR="00DB5C9B">
      <w:rPr>
        <w:rFonts w:ascii="Times New Roman" w:hAnsi="Times New Roman" w:cs="Times New Roman"/>
        <w:kern w:val="0"/>
        <w:sz w:val="20"/>
        <w:szCs w:val="20"/>
        <w:lang w:val="ru-RU"/>
      </w:rPr>
      <w:fldChar w:fldCharType="separate"/>
    </w:r>
    <w:r w:rsidR="00DB5C9B">
      <w:rPr>
        <w:rFonts w:ascii="Times New Roman" w:hAnsi="Times New Roman" w:cs="Times New Roman"/>
        <w:noProof/>
        <w:kern w:val="0"/>
        <w:sz w:val="20"/>
        <w:szCs w:val="20"/>
        <w:lang w:val="ru-RU"/>
      </w:rPr>
      <w:t>1</w:t>
    </w:r>
    <w:r>
      <w:rPr>
        <w:rFonts w:ascii="Times New Roman" w:hAnsi="Times New Roman" w:cs="Times New Roman"/>
        <w:kern w:val="0"/>
        <w:sz w:val="20"/>
        <w:szCs w:val="20"/>
        <w:lang w:val="ru-RU"/>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82CC29" w14:textId="77777777" w:rsidR="0029695A" w:rsidRDefault="0029695A">
      <w:pPr>
        <w:spacing w:after="0" w:line="240" w:lineRule="auto"/>
      </w:pPr>
      <w:r>
        <w:separator/>
      </w:r>
    </w:p>
  </w:footnote>
  <w:footnote w:type="continuationSeparator" w:id="0">
    <w:p w14:paraId="75EE437A" w14:textId="77777777" w:rsidR="0029695A" w:rsidRDefault="0029695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C9B"/>
    <w:rsid w:val="00200BE3"/>
    <w:rsid w:val="0029695A"/>
    <w:rsid w:val="00DB5C9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A5B5D9"/>
  <w14:defaultImageDpi w14:val="0"/>
  <w15:docId w15:val="{34CBF6AA-8CB0-417E-9B3A-F5CDA4189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uk-UA" w:eastAsia="uk-U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3778</Words>
  <Characters>2154</Characters>
  <Application>Microsoft Office Word</Application>
  <DocSecurity>0</DocSecurity>
  <Lines>17</Lines>
  <Paragraphs>11</Paragraphs>
  <ScaleCrop>false</ScaleCrop>
  <Company/>
  <LinksUpToDate>false</LinksUpToDate>
  <CharactersWithSpaces>5921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Олена Ступак</dc:creator>
  <cp:keywords/>
  <dc:description/>
  <cp:lastModifiedBy>Олена Ступак</cp:lastModifiedBy>
  <cp:revision>2</cp:revision>
  <dcterms:created xsi:type="dcterms:W3CDTF">2025-04-14T12:28:00Z</dcterms:created>
  <dcterms:modified xsi:type="dcterms:W3CDTF">2025-04-14T12:28:00Z</dcterms:modified>
</cp:coreProperties>
</file>